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1A42C48" w:rsidR="00093CA9" w:rsidRDefault="0066694A"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C0F88"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D272772" w:rsidR="008B4C71" w:rsidRPr="00700C6C" w:rsidRDefault="008B4C71" w:rsidP="00700C6C">
            <w:pPr>
              <w:jc w:val="both"/>
              <w:rPr>
                <w:lang w:val="es-ES"/>
              </w:rPr>
            </w:pPr>
            <w:r w:rsidRPr="00841E61">
              <w:rPr>
                <w:lang w:val="es-ES"/>
              </w:rPr>
              <w:t xml:space="preserve">Technical paper of the Financial Superintendency “Climate risk and opportunity management for credit institutions” </w:t>
            </w:r>
            <w:r>
              <w:rPr>
                <w:lang w:val="es-ES"/>
              </w:rPr>
              <w:t>(</w:t>
            </w:r>
            <w:r w:rsidRPr="00841E61">
              <w:rPr>
                <w:lang w:val="es-ES"/>
              </w:rPr>
              <w:t>Documento Técnico de la Superintendencia Financiera “Administración de riesgos y oportunidades climáticas para los establecimientos de crédito”</w:t>
            </w:r>
            <w:r>
              <w:rPr>
                <w:lang w:val="es-E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FEAA103" w:rsidR="00093CA9" w:rsidRDefault="00700C6C" w:rsidP="00093CA9">
            <w:hyperlink r:id="rId17" w:history="1">
              <w:r w:rsidRPr="00CC4484">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9663B28" w:rsidR="00093CA9" w:rsidRDefault="008B4C71"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565446"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238F8E5" w:rsidR="00093CA9" w:rsidRDefault="001348F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CC02EAE" w14:textId="1C00C4C3" w:rsidR="004B57E6" w:rsidRDefault="004B57E6" w:rsidP="004B57E6">
            <w:pPr>
              <w:tabs>
                <w:tab w:val="left" w:pos="946"/>
              </w:tabs>
              <w:jc w:val="both"/>
              <w:rPr>
                <w:lang w:val="en-US"/>
              </w:rPr>
            </w:pPr>
            <w:r w:rsidRPr="004B57E6">
              <w:rPr>
                <w:lang w:val="en-US"/>
              </w:rPr>
              <w:t xml:space="preserve">The policy tool established by the Superintendency of </w:t>
            </w:r>
            <w:r>
              <w:rPr>
                <w:lang w:val="en-US"/>
              </w:rPr>
              <w:t>F</w:t>
            </w:r>
            <w:r w:rsidRPr="004B57E6">
              <w:rPr>
                <w:lang w:val="en-US"/>
              </w:rPr>
              <w:t xml:space="preserve">inancial </w:t>
            </w:r>
            <w:r>
              <w:rPr>
                <w:lang w:val="en-US"/>
              </w:rPr>
              <w:t>I</w:t>
            </w:r>
            <w:r w:rsidRPr="004B57E6">
              <w:rPr>
                <w:lang w:val="en-US"/>
              </w:rPr>
              <w:t>nstitutions</w:t>
            </w:r>
            <w:r w:rsidR="002A295C">
              <w:rPr>
                <w:lang w:val="en-US"/>
              </w:rPr>
              <w:t xml:space="preserve"> (“</w:t>
            </w:r>
            <w:r w:rsidR="002A295C" w:rsidRPr="002A295C">
              <w:rPr>
                <w:u w:val="single"/>
                <w:lang w:val="en-US"/>
              </w:rPr>
              <w:t>SFC</w:t>
            </w:r>
            <w:r w:rsidR="002A295C">
              <w:rPr>
                <w:lang w:val="en-US"/>
              </w:rPr>
              <w:t>”)</w:t>
            </w:r>
            <w:r w:rsidRPr="004B57E6">
              <w:rPr>
                <w:lang w:val="en-US"/>
              </w:rPr>
              <w:t xml:space="preserve"> for the management of climate-related risks and opportunities in financial institutions is designed to guide credit establishments in integrating climate risk factors—both physical (such as extreme weather events and long-term climate shifts) and transition risks (arising from regulatory, technological, market, and reputational changes)—into their existing risk management frameworks (see sections 3, 5.1, and 5.2). </w:t>
            </w:r>
          </w:p>
          <w:p w14:paraId="18257824" w14:textId="0B9016A3" w:rsidR="00093CA9" w:rsidRPr="004B57E6" w:rsidRDefault="004B57E6" w:rsidP="004B57E6">
            <w:pPr>
              <w:tabs>
                <w:tab w:val="left" w:pos="946"/>
              </w:tabs>
              <w:jc w:val="both"/>
              <w:rPr>
                <w:lang w:val="en-US"/>
              </w:rPr>
            </w:pPr>
            <w:r w:rsidRPr="004B57E6">
              <w:rPr>
                <w:lang w:val="en-US"/>
              </w:rPr>
              <w:t xml:space="preserve">This tool is highly relevant to prudential tools, as it requires institutions to incorporate climate risk into their risk appetite frameworks, set specific exposure limits, and adapt their internal control and audit systems accordingly (section 5.2). It also promotes the use of scenario analysis and stress testing to assess the resilience of institutions under various climate scenarios (section 5.3) and mandates the consideration of climate risks in capital and liquidity planning processes such as </w:t>
            </w:r>
            <w:r w:rsidR="00443C2A" w:rsidRPr="00443C2A">
              <w:t>Internal Capital Adequacy Assessment Process</w:t>
            </w:r>
            <w:r w:rsidR="00443C2A" w:rsidRPr="00443C2A">
              <w:rPr>
                <w:lang w:val="en-US"/>
              </w:rPr>
              <w:t xml:space="preserve"> </w:t>
            </w:r>
            <w:r w:rsidR="00443C2A">
              <w:rPr>
                <w:lang w:val="en-US"/>
              </w:rPr>
              <w:t>(“</w:t>
            </w:r>
            <w:r w:rsidRPr="004B57E6">
              <w:rPr>
                <w:u w:val="single"/>
                <w:lang w:val="en-US"/>
              </w:rPr>
              <w:t>ICAAP</w:t>
            </w:r>
            <w:r w:rsidR="00443C2A">
              <w:rPr>
                <w:lang w:val="en-US"/>
              </w:rPr>
              <w:t>”)</w:t>
            </w:r>
            <w:r w:rsidRPr="004B57E6">
              <w:rPr>
                <w:lang w:val="en-US"/>
              </w:rPr>
              <w:t xml:space="preserve"> and </w:t>
            </w:r>
            <w:r w:rsidR="00443C2A" w:rsidRPr="00443C2A">
              <w:t>Internal Liquidity Adequacy Assessment Process</w:t>
            </w:r>
            <w:r w:rsidR="00443C2A" w:rsidRPr="00443C2A">
              <w:rPr>
                <w:lang w:val="en-US"/>
              </w:rPr>
              <w:t xml:space="preserve"> </w:t>
            </w:r>
            <w:r w:rsidR="00443C2A">
              <w:rPr>
                <w:lang w:val="en-US"/>
              </w:rPr>
              <w:t>(“</w:t>
            </w:r>
            <w:r w:rsidRPr="004B57E6">
              <w:rPr>
                <w:u w:val="single"/>
                <w:lang w:val="en-US"/>
              </w:rPr>
              <w:t>ILAAP</w:t>
            </w:r>
            <w:r w:rsidR="00443C2A">
              <w:rPr>
                <w:lang w:val="en-US"/>
              </w:rPr>
              <w:t>”)</w:t>
            </w:r>
            <w:r w:rsidRPr="004B57E6">
              <w:rPr>
                <w:lang w:val="en-US"/>
              </w:rPr>
              <w:t xml:space="preserve">. Furthermore, the policy emphasizes the importance of transparent climate-related disclosures, aligning with international standards like </w:t>
            </w:r>
            <w:r w:rsidR="005D1FF5" w:rsidRPr="005D1FF5">
              <w:rPr>
                <w:lang w:val="en-US"/>
              </w:rPr>
              <w:t xml:space="preserve">Task Force on Climate-Related Financial Disclosures </w:t>
            </w:r>
            <w:r w:rsidR="005D1FF5">
              <w:rPr>
                <w:lang w:val="en-US"/>
              </w:rPr>
              <w:t>(“</w:t>
            </w:r>
            <w:r w:rsidRPr="004B57E6">
              <w:rPr>
                <w:u w:val="single"/>
                <w:lang w:val="en-US"/>
              </w:rPr>
              <w:t>TCFD</w:t>
            </w:r>
            <w:r w:rsidR="005D1FF5">
              <w:rPr>
                <w:lang w:val="en-US"/>
              </w:rPr>
              <w:t>”)</w:t>
            </w:r>
            <w:r w:rsidRPr="004B57E6">
              <w:rPr>
                <w:lang w:val="en-US"/>
              </w:rPr>
              <w:t>, to support effective prudential supervision and informed stakeholder decision-making (section 5.4). Overall, this policy tool strengthens the prudential framework by ensuring that climate risks are systematically identified, measured, monitored, mitigated, and reported, thereby enhancing the stability and resilience of the Colombian financial system in the face of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D90B9E" w:rsidR="00093CA9" w:rsidRDefault="00B2299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F04E032" w:rsidR="00093CA9" w:rsidRPr="00173D7C" w:rsidRDefault="00B22992"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1BDACE15" w14:textId="77777777" w:rsidR="00C343C2" w:rsidRDefault="00C343C2" w:rsidP="00C343C2">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Pr>
                <w:lang w:val="en-US"/>
              </w:rPr>
              <w:t xml:space="preserve">, </w:t>
            </w:r>
            <w:r>
              <w:t>which is a technical government agency attached to the Ministry of Finance and Public Credit. The SFC possesses legal personality, as well as administrative and financial autonomy, and its own assets.</w:t>
            </w:r>
          </w:p>
          <w:p w14:paraId="7961F236" w14:textId="3420C968" w:rsidR="00093CA9" w:rsidRDefault="00C343C2" w:rsidP="00C343C2">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E3A1B06" w:rsidR="00093CA9" w:rsidRPr="006B7B0D" w:rsidRDefault="00C343C2" w:rsidP="00093CA9">
            <w:r w:rsidRPr="005E4C3B">
              <w:t xml:space="preserve">Superintendency of Financial </w:t>
            </w:r>
            <w:r>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F21D965" w:rsidR="00093CA9" w:rsidRPr="006B7B0D" w:rsidRDefault="00C343C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CA9CA12" w:rsidR="00093CA9" w:rsidRDefault="00C343C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9397723" w14:textId="77777777" w:rsidR="00C343C2" w:rsidRDefault="00C343C2" w:rsidP="00C343C2">
            <w:pPr>
              <w:keepNext/>
              <w:jc w:val="both"/>
              <w:rPr>
                <w:color w:val="000000" w:themeColor="text1"/>
                <w:lang w:val="en-US"/>
              </w:rPr>
            </w:pPr>
            <w:r w:rsidRPr="00C343C2">
              <w:rPr>
                <w:color w:val="000000" w:themeColor="text1"/>
                <w:lang w:val="en-US"/>
              </w:rPr>
              <w:t xml:space="preserve">The policy tool established by </w:t>
            </w:r>
            <w:r>
              <w:rPr>
                <w:color w:val="000000" w:themeColor="text1"/>
                <w:lang w:val="en-US"/>
              </w:rPr>
              <w:t>the SFC</w:t>
            </w:r>
            <w:r w:rsidRPr="00C343C2">
              <w:rPr>
                <w:color w:val="000000" w:themeColor="text1"/>
                <w:lang w:val="en-US"/>
              </w:rPr>
              <w:t xml:space="preserve"> incorporates robust monitoring systems to oversee its implementation and enforcement, as detailed in sections 5.2.2 and 5.4 of the document. </w:t>
            </w:r>
            <w:r>
              <w:rPr>
                <w:color w:val="000000" w:themeColor="text1"/>
                <w:lang w:val="en-US"/>
              </w:rPr>
              <w:t>Credit institutions</w:t>
            </w:r>
            <w:r w:rsidRPr="00C343C2">
              <w:rPr>
                <w:color w:val="000000" w:themeColor="text1"/>
                <w:lang w:val="en-US"/>
              </w:rPr>
              <w:t xml:space="preserve"> are required to develop and utilize monitoring mechanisms such as heat maps, early warning systems, and specific metrics or indicators to track their exposure to climate-related risks across sectors, industries, and geographies (section 5.2.2). </w:t>
            </w:r>
          </w:p>
          <w:p w14:paraId="2C2128DB" w14:textId="5C9C689B" w:rsidR="00093CA9" w:rsidRPr="00C343C2" w:rsidRDefault="00C343C2" w:rsidP="00C343C2">
            <w:pPr>
              <w:keepNext/>
              <w:jc w:val="both"/>
              <w:rPr>
                <w:color w:val="000000" w:themeColor="text1"/>
                <w:lang w:val="en-US"/>
              </w:rPr>
            </w:pPr>
            <w:r w:rsidRPr="00C343C2">
              <w:rPr>
                <w:color w:val="000000" w:themeColor="text1"/>
                <w:lang w:val="en-US"/>
              </w:rPr>
              <w:t>These metrics, which include greenhouse gas emissions and the proportion of assets aligned with green taxonomies, must be regularly updated and calibrated to support decision-making at the board and senior management levels. Furthermore, institutions are mandated to conduct periodic internal reporting to senior management and the board on their climate risk exposures, scenario analysis results, and stress testing outcomes (section 5.2.4). In terms of external oversight, the policy tool requires annual public disclosure of climate-related information in line with TCFD recommendations and the SFC’s Circular Externa 031 de 2021, ensuring transparency and enabling stakeholders to assess institutional progress (section 5.4). These disclosures are subject to independent third-party review to verify their accuracy and relevance. While the document does not explicitly mention open data platforms or public dashboards, the combination of internal monitoring, periodic reporting, and mandatory public disclosures forms a comprehensive system for supervising the policy tool’s implementation and effectiveness.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EF39BA7" w:rsidR="00CF5268" w:rsidRDefault="00711D02"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2A7513A" w:rsidR="00CF5268" w:rsidRDefault="00711D02"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75E2A98" w:rsidR="00CF5268" w:rsidRDefault="00CF5268" w:rsidP="00DD3144"/>
        </w:tc>
        <w:tc>
          <w:tcPr>
            <w:tcW w:w="1447" w:type="dxa"/>
            <w:vAlign w:val="center"/>
          </w:tcPr>
          <w:p w14:paraId="568957B7" w14:textId="3CF2D69D" w:rsidR="00CF5268" w:rsidRDefault="00711D02" w:rsidP="00DD3144">
            <w:r>
              <w:t>X</w:t>
            </w:r>
          </w:p>
        </w:tc>
        <w:tc>
          <w:tcPr>
            <w:tcW w:w="1447" w:type="dxa"/>
            <w:vAlign w:val="center"/>
          </w:tcPr>
          <w:p w14:paraId="4890C90B" w14:textId="4B201E46"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2A364A15" w:rsidR="00CF5268" w:rsidRDefault="00711D02"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FC4DB9F" w:rsidR="00CF5268" w:rsidRDefault="00711D02"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E2A545A" w:rsidR="466E435B" w:rsidRDefault="00711D02"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8F2E89E" w:rsidR="00CF5268" w:rsidRDefault="00711D02"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9D2F321" w:rsidR="466E435B" w:rsidRDefault="00711D02"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CC60B09" w:rsidR="466E435B" w:rsidRDefault="00711D02"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4A22E23" w:rsidR="466E435B" w:rsidRDefault="00711D02"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CD0D4B3" w:rsidR="466E435B" w:rsidRDefault="00711D02"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27CA4A7" w:rsidR="00CF5268" w:rsidRDefault="00711D02"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1294BE92" w:rsidR="00CF5268" w:rsidRDefault="00CF5268" w:rsidP="00DD3144"/>
        </w:tc>
        <w:tc>
          <w:tcPr>
            <w:tcW w:w="1447" w:type="dxa"/>
            <w:vAlign w:val="center"/>
          </w:tcPr>
          <w:p w14:paraId="592977B8" w14:textId="72C57B66" w:rsidR="00CF5268" w:rsidRDefault="00711D02"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rsidRPr="00270ACD"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2A5452D8" w:rsidR="00C35794" w:rsidRPr="00270ACD" w:rsidRDefault="00270ACD" w:rsidP="00DD3144">
            <w:pPr>
              <w:rPr>
                <w:lang w:val="es-ES"/>
              </w:rPr>
            </w:pPr>
            <w:r w:rsidRPr="00270ACD">
              <w:t>Certain sections of the policy tool refer to “</w:t>
            </w:r>
            <w:r w:rsidRPr="00270ACD">
              <w:rPr>
                <w:i/>
                <w:iCs/>
              </w:rPr>
              <w:t xml:space="preserve">the voluntary, gradual, and proportional adoption of good practices for the management of risks arising from climate change by credit </w:t>
            </w:r>
            <w:r w:rsidRPr="00270ACD">
              <w:rPr>
                <w:i/>
                <w:iCs/>
              </w:rPr>
              <w:lastRenderedPageBreak/>
              <w:t>institutions and development banks</w:t>
            </w:r>
            <w:r w:rsidRPr="00270ACD">
              <w:t>.” Accordingly, development banks are included under the “Other” category</w:t>
            </w:r>
            <w:r>
              <w:rPr>
                <w:lang w:val="es-ES"/>
              </w:rPr>
              <w:t xml:space="preserve">. </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75B4C28" w:rsidR="004B2D74" w:rsidRDefault="004B2D74" w:rsidP="00DD3144"/>
        </w:tc>
        <w:tc>
          <w:tcPr>
            <w:tcW w:w="1447" w:type="dxa"/>
            <w:vAlign w:val="center"/>
          </w:tcPr>
          <w:p w14:paraId="39B51900" w14:textId="5EFBB997" w:rsidR="004B2D74" w:rsidRDefault="00711D02"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EDC7631" w:rsidR="004B2D74" w:rsidRDefault="004B2D74" w:rsidP="00DD3144"/>
        </w:tc>
        <w:tc>
          <w:tcPr>
            <w:tcW w:w="1447" w:type="dxa"/>
            <w:vAlign w:val="center"/>
          </w:tcPr>
          <w:p w14:paraId="598CCB17" w14:textId="7A0BBC5B" w:rsidR="004B2D74" w:rsidRDefault="00711D02" w:rsidP="00DD3144">
            <w:r>
              <w:t>X</w:t>
            </w:r>
          </w:p>
        </w:tc>
        <w:tc>
          <w:tcPr>
            <w:tcW w:w="1447" w:type="dxa"/>
            <w:vAlign w:val="center"/>
          </w:tcPr>
          <w:p w14:paraId="1A169030" w14:textId="3743FFDA"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2F45DB7B" w:rsidR="004B2D74" w:rsidRDefault="00711D02"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2601D13B" w:rsidR="004B2D74" w:rsidRDefault="00711D02"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2EC48C37" w:rsidR="004B2D74" w:rsidRDefault="00711D02"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3DE63A89" w:rsidR="004B2D74" w:rsidRDefault="004B2D74" w:rsidP="00DD3144"/>
        </w:tc>
        <w:tc>
          <w:tcPr>
            <w:tcW w:w="1447" w:type="dxa"/>
            <w:vAlign w:val="center"/>
          </w:tcPr>
          <w:p w14:paraId="2D9BB3C0" w14:textId="4543F445" w:rsidR="004B2D74" w:rsidRDefault="00711D02"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8F4C88F" w:rsidR="00C35794" w:rsidRDefault="00270ACD" w:rsidP="00DD3144">
            <w:r w:rsidRPr="00270ACD">
              <w:t>Certain sections of the policy tool refer to “</w:t>
            </w:r>
            <w:r w:rsidRPr="00270ACD">
              <w:rPr>
                <w:i/>
                <w:iCs/>
              </w:rPr>
              <w:t>the voluntary, gradual, and proportional adoption of good practices for the management of risks arising from climate change by credit institutions and development banks</w:t>
            </w:r>
            <w:r w:rsidRPr="00270ACD">
              <w:t>.” Accordingly, development banks are included under the “Other” category</w:t>
            </w:r>
            <w:r>
              <w:rPr>
                <w:lang w:val="es-ES"/>
              </w:rPr>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4D5AFE93" w:rsidR="00B536E6" w:rsidRDefault="00AC0F88"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36E529A4" w:rsidR="00B536E6" w:rsidRDefault="00AC0F88"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107B430F" w:rsidR="00B536E6" w:rsidRDefault="00AC0F88"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63C85F0E" w:rsidR="00B536E6" w:rsidRDefault="00AC0F88"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8F3764D" w:rsidR="00B536E6" w:rsidRDefault="00AC0F88"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4F0E361F" w:rsidR="00B536E6" w:rsidRDefault="00AC0F88"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F3F2E68" w:rsidR="00B536E6" w:rsidRDefault="00AC0F88"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lastRenderedPageBreak/>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65E4423E" w:rsidR="00B536E6" w:rsidRDefault="00AC0F88"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0CE251C" w:rsidR="00B536E6" w:rsidRDefault="00AC0F88"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F725BD0" w:rsidR="00B536E6" w:rsidRDefault="00AC0F88"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6139470D" w:rsidR="00B536E6" w:rsidRDefault="00AC0F88"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D67B947" w:rsidR="00B536E6" w:rsidRDefault="00AC0F88"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3F3BC6CA" w:rsidR="00B536E6" w:rsidRDefault="00AC0F88"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345FFBB" w:rsidR="00B536E6" w:rsidRDefault="00AC0F88"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F70ACA8" w:rsidR="00B536E6" w:rsidRDefault="00AC0F88"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09C8F76" w:rsidR="00B536E6" w:rsidRDefault="00AC0F88"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13860F6" w:rsidR="00B536E6" w:rsidRDefault="00AC0F88"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3AEC6E99" w:rsidR="00B536E6" w:rsidRDefault="00AC0F88"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1B5BAF86" w:rsidR="00B536E6" w:rsidRDefault="00AC0F88"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76971DC" w:rsidR="00B536E6" w:rsidRDefault="00AC0F88"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341D805" w:rsidR="00B536E6" w:rsidRDefault="00AC0F88"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6008FC26" w:rsidR="00B536E6" w:rsidRDefault="00AC0F88"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4263BB29"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209DFA9C" w:rsidR="00524D54" w:rsidRPr="00227C1F" w:rsidRDefault="00AC0F88" w:rsidP="00DD3144">
            <w:pPr>
              <w:rPr>
                <w:lang w:val="es-ES"/>
              </w:rPr>
            </w:pPr>
            <w:r w:rsidRPr="00AC0F88">
              <w:t>All entities headquartered in Colombia or conducting activities within the national territory</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70FE9B1"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0A2A4FC"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C858219" w:rsidR="00576ED8" w:rsidRDefault="00711D02"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217A379A" w:rsidR="009F5822" w:rsidRDefault="00711D02" w:rsidP="00DD3144">
            <w:r w:rsidRPr="00270ACD">
              <w:t>The principles for climate risk management are of voluntary implementation, as set forth in Section 5: “</w:t>
            </w:r>
            <w:r w:rsidRPr="00270ACD">
              <w:rPr>
                <w:i/>
                <w:iCs/>
              </w:rPr>
              <w:t>the voluntary, gradual, and proportional adoption of good practices for the management of risks arising from climate change by credit institutions and development banks.”</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E94B449"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49D5279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15D9CBC"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B47BBA" w:rsidR="00911F20" w:rsidRDefault="00711D02"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08ED126"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590F0BD"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0FB6D0D" w:rsidR="00C57511" w:rsidRPr="00FA0CF8" w:rsidRDefault="00711D02"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92DD42B" w14:textId="77777777" w:rsidR="00711D02" w:rsidRPr="00726535" w:rsidRDefault="00711D02" w:rsidP="00711D02">
            <w:pPr>
              <w:spacing w:line="276" w:lineRule="auto"/>
              <w:rPr>
                <w:color w:val="000000" w:themeColor="text1"/>
                <w:lang w:val="en-US"/>
              </w:rPr>
            </w:pPr>
            <w:r w:rsidRPr="00726535">
              <w:rPr>
                <w:color w:val="000000" w:themeColor="text1"/>
                <w:lang w:val="en-US"/>
              </w:rPr>
              <w:t xml:space="preserve">The </w:t>
            </w:r>
            <w:r>
              <w:rPr>
                <w:color w:val="000000" w:themeColor="text1"/>
                <w:lang w:val="en-US"/>
              </w:rPr>
              <w:t>SFC</w:t>
            </w:r>
            <w:r w:rsidRPr="00726535">
              <w:rPr>
                <w:color w:val="000000" w:themeColor="text1"/>
                <w:lang w:val="en-US"/>
              </w:rPr>
              <w:t xml:space="preserve"> has advanced a comprehensive set of initiatives aimed at integrating environmental, social, and governance (ESG) factors—particularly climate-related risks and opportunities—into the Colombian financial system. These efforts include the </w:t>
            </w:r>
            <w:r w:rsidRPr="00726535">
              <w:rPr>
                <w:i/>
                <w:iCs/>
                <w:color w:val="000000" w:themeColor="text1"/>
                <w:lang w:val="en-US"/>
              </w:rPr>
              <w:t>Green Finance and Climate Change Strategy</w:t>
            </w:r>
            <w:r w:rsidRPr="00726535">
              <w:rPr>
                <w:color w:val="000000" w:themeColor="text1"/>
                <w:lang w:val="en-US"/>
              </w:rPr>
              <w:t xml:space="preserve">, the </w:t>
            </w:r>
            <w:r w:rsidRPr="00726535">
              <w:rPr>
                <w:i/>
                <w:iCs/>
                <w:color w:val="000000" w:themeColor="text1"/>
                <w:lang w:val="en-US"/>
              </w:rPr>
              <w:t>Climate Risk and Transition Strategy Dashboard</w:t>
            </w:r>
            <w:r w:rsidRPr="00726535">
              <w:rPr>
                <w:color w:val="000000" w:themeColor="text1"/>
                <w:lang w:val="en-US"/>
              </w:rPr>
              <w:t xml:space="preserve">, and the </w:t>
            </w:r>
            <w:r w:rsidRPr="00726535">
              <w:rPr>
                <w:i/>
                <w:iCs/>
                <w:color w:val="000000" w:themeColor="text1"/>
                <w:lang w:val="en-US"/>
              </w:rPr>
              <w:t>Glossary of Sustainability Terms</w:t>
            </w:r>
            <w:r w:rsidRPr="00726535">
              <w:rPr>
                <w:color w:val="000000" w:themeColor="text1"/>
                <w:lang w:val="en-US"/>
              </w:rPr>
              <w:t xml:space="preserve">. </w:t>
            </w:r>
          </w:p>
          <w:p w14:paraId="7A457096" w14:textId="2E31584E" w:rsidR="00654950" w:rsidRDefault="00711D02" w:rsidP="00711D02">
            <w:pPr>
              <w:spacing w:line="276" w:lineRule="auto"/>
              <w:rPr>
                <w:color w:val="000000" w:themeColor="text1"/>
              </w:rPr>
            </w:pPr>
            <w:r w:rsidRPr="00726535">
              <w:rPr>
                <w:color w:val="000000" w:themeColor="text1"/>
                <w:lang w:val="en-US"/>
              </w:rPr>
              <w:t xml:space="preserve">Additionally, the SFC has conducted </w:t>
            </w:r>
            <w:r w:rsidRPr="00726535">
              <w:rPr>
                <w:b/>
                <w:bCs/>
                <w:color w:val="000000" w:themeColor="text1"/>
                <w:lang w:val="en-US"/>
              </w:rPr>
              <w:t>biennial surveys on ESG and climate-related risks and opportunities</w:t>
            </w:r>
            <w:r w:rsidRPr="00726535">
              <w:rPr>
                <w:color w:val="000000" w:themeColor="text1"/>
                <w:lang w:val="en-US"/>
              </w:rPr>
              <w:t xml:space="preserve"> (2018, 2020, and 2022), with detailed reports and annexes presenting key findings and data visualizations. Other notable studies include stress-testing frameworks for climate risk, ESG disclosure practices, and the assessment of climate risk impacts on the financial system—developed in coordination with the World Bank. These initiatives reflect the SFC’s ongoing commitment to greening the financial system and enhancing sustainability-related risk management and transparency.</w:t>
            </w:r>
            <w:r>
              <w:rPr>
                <w:color w:val="000000" w:themeColor="text1"/>
                <w:lang w:val="en-US"/>
              </w:rPr>
              <w:t xml:space="preserve"> The information is available at the following </w:t>
            </w:r>
            <w:hyperlink r:id="rId18" w:history="1">
              <w:r w:rsidRPr="00D55590">
                <w:rPr>
                  <w:rStyle w:val="Hyperlink"/>
                  <w:lang w:val="en-US"/>
                </w:rPr>
                <w:t>Web-archived link</w:t>
              </w:r>
            </w:hyperlink>
            <w:r>
              <w:rPr>
                <w:color w:val="000000" w:themeColor="text1"/>
                <w:lang w:val="en-US"/>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9703D74"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5F3A44DA"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320CBDA" w:rsidR="008063B5" w:rsidRDefault="00711D0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41F27850"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625464A3" w:rsidR="00042406" w:rsidRDefault="00A313F3" w:rsidP="00DD3144">
            <w:r>
              <w:t>X</w:t>
            </w:r>
          </w:p>
        </w:tc>
        <w:tc>
          <w:tcPr>
            <w:tcW w:w="1440" w:type="dxa"/>
            <w:vAlign w:val="center"/>
          </w:tcPr>
          <w:p w14:paraId="7015C034" w14:textId="77777777" w:rsidR="00042406" w:rsidRDefault="00042406" w:rsidP="00DD3144"/>
        </w:tc>
        <w:tc>
          <w:tcPr>
            <w:tcW w:w="1890" w:type="dxa"/>
            <w:vAlign w:val="center"/>
          </w:tcPr>
          <w:p w14:paraId="0D7B8554" w14:textId="0EA81C5A"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093993AA"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232EA76" w:rsidR="00042406" w:rsidRDefault="00730BE0"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7CFD96C"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659A305" w:rsidR="00042406" w:rsidRDefault="00730BE0"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BA3C4DB" w:rsidR="00042406" w:rsidRDefault="00711D02"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74C3C64B" w:rsidR="00042406" w:rsidRDefault="00711D02"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159B290E" w:rsidR="00042406" w:rsidRDefault="00711D02"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0BD4DF93"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091CDFE" w:rsidR="00042406" w:rsidRDefault="00730BE0"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DFE617E"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09720D1"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0D2C9F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419AF2FB"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0685063"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6CE0D18F"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07D454DC"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28DE38D9" w:rsidR="00B0479E" w:rsidRPr="00F75058" w:rsidRDefault="0058520B"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70379B3F" w:rsidR="00B0479E" w:rsidRPr="00F75058" w:rsidRDefault="0058520B"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204BA57E" w:rsidR="00B0479E" w:rsidRPr="00F75058" w:rsidRDefault="0058520B"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111891F1" w:rsidR="00B0479E" w:rsidRPr="00F75058" w:rsidRDefault="0058520B"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76A382BE" w:rsidR="00B0479E" w:rsidRPr="00F75058" w:rsidRDefault="0058520B"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2533F34B" w:rsidR="00B0479E" w:rsidRPr="00F75058" w:rsidRDefault="0058520B"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21198F0C"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151027"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2B7627F5" w:rsidR="00B0479E" w:rsidRDefault="0058520B"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550942CF" w:rsidR="00B0479E" w:rsidRDefault="0058520B"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5F54F2BD" w:rsidR="00B0479E" w:rsidRDefault="0058520B" w:rsidP="00DD3144">
            <w:pPr>
              <w:rPr>
                <w:rFonts w:ascii="Calibri" w:hAnsi="Calibri" w:cs="Calibri"/>
              </w:rPr>
            </w:pPr>
            <w:r>
              <w:rPr>
                <w:rFonts w:ascii="Calibri" w:hAnsi="Calibri" w:cs="Calibri"/>
              </w:rPr>
              <w:t>X</w:t>
            </w: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06E82022"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22566CF"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FE5DE5A"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71258CB6" w:rsidR="00B0479E" w:rsidRDefault="003E5BA6"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3762B81A" w:rsidR="00B0479E" w:rsidRDefault="00730BE0"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37B860B4" w:rsidR="00B0479E" w:rsidRDefault="00730BE0"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19539CF0" w:rsidR="00B0479E" w:rsidRDefault="00730BE0"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3D01795" w:rsidR="00B0479E" w:rsidRDefault="003E5BA6" w:rsidP="00DD3144">
            <w:r>
              <w:t xml:space="preserve">The policy tool </w:t>
            </w:r>
            <w:r w:rsidRPr="003E5BA6">
              <w:t>recommends</w:t>
            </w:r>
            <w:r>
              <w:t xml:space="preserve"> </w:t>
            </w:r>
            <w:r w:rsidRPr="003E5BA6">
              <w:t>that financial institutions set climate-related targets across several areas. Section 5.1 (Governance and Strategy) encourages the inclusion of climate-related objectives in business strategy, including renewable energy, fossil fuel phase down, adaptation, just transition, and biodiversity (pp. 28-31). Section 5.2 (Gestión de riesgos) and its subsections highlight the importance of identifying and managing risks and opportunities related to resource efficiency, energy transition, sustainable products/services, and resilience (pp. 32-37). The guide also notes in Section 4 (Objective, Application and Scope) and Section 5.4 (Revelación de información) that these principles can extend to other environmental risks, such as biodiversity loss, and recommends disclosure of climate targets and progress (pp. 25-27, 43-45). All these targets are framed as recommended best practices, not mandatory requirements</w:t>
            </w:r>
            <w:r w:rsidR="00125F58" w:rsidRPr="00125F58">
              <w:t>.</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7A50E6C9" w:rsidR="00EC42A1" w:rsidRDefault="003E5BA6"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CB2AF2C" w:rsidR="00EC42A1" w:rsidRDefault="003E5BA6"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DD548A5" w:rsidR="00EC42A1" w:rsidRDefault="003E5BA6"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5877A5D3" w:rsidR="00EC42A1" w:rsidRDefault="008A5D8E"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01217901" w:rsidR="00EC42A1" w:rsidRDefault="008A5D8E"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C2BDDAC" w:rsidR="00EC42A1" w:rsidRDefault="008A5D8E" w:rsidP="00DD3144">
            <w:r>
              <w:t>X</w:t>
            </w:r>
          </w:p>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601B1119" w:rsidR="00484663" w:rsidRDefault="00DE51F4"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61FDC7A4" w:rsidR="00484663" w:rsidRDefault="00107E77"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0A36AA4B" w:rsidR="00484663" w:rsidRDefault="006B283B"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1F4EC2F0" w:rsidR="00484663" w:rsidRDefault="005959C7" w:rsidP="00DD3144">
            <w:r>
              <w:t>X</w:t>
            </w:r>
          </w:p>
        </w:tc>
        <w:tc>
          <w:tcPr>
            <w:tcW w:w="1440" w:type="dxa"/>
            <w:vAlign w:val="center"/>
          </w:tcPr>
          <w:p w14:paraId="0216ACA0" w14:textId="77777777" w:rsidR="00484663" w:rsidRDefault="00484663" w:rsidP="00DD3144"/>
        </w:tc>
        <w:tc>
          <w:tcPr>
            <w:tcW w:w="1890" w:type="dxa"/>
            <w:vAlign w:val="center"/>
          </w:tcPr>
          <w:p w14:paraId="7B766908" w14:textId="069094B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2B9927A9" w:rsidR="00484663" w:rsidRDefault="005959C7" w:rsidP="00DD3144">
            <w:r>
              <w:t>X</w:t>
            </w:r>
          </w:p>
        </w:tc>
        <w:tc>
          <w:tcPr>
            <w:tcW w:w="1440" w:type="dxa"/>
            <w:vAlign w:val="center"/>
          </w:tcPr>
          <w:p w14:paraId="1315AFFB" w14:textId="77777777" w:rsidR="00484663" w:rsidRDefault="00484663" w:rsidP="00DD3144"/>
        </w:tc>
        <w:tc>
          <w:tcPr>
            <w:tcW w:w="1890" w:type="dxa"/>
            <w:vAlign w:val="center"/>
          </w:tcPr>
          <w:p w14:paraId="3A0D212A" w14:textId="73A51620"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2D935A42" w:rsidR="00484663" w:rsidRDefault="005959C7" w:rsidP="00DD3144">
            <w:r>
              <w:t>X</w:t>
            </w:r>
          </w:p>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77C843C6" w:rsidR="00484663" w:rsidRDefault="00227C1F"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58DD0A8C" w:rsidR="00484663" w:rsidRDefault="00227C1F"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2782CE3C" w:rsidR="00484663" w:rsidRDefault="008D352E"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32EA945F" w:rsidR="00484663" w:rsidRDefault="00227C1F"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6C4ACF7C" w:rsidR="00484663" w:rsidRDefault="00227C1F"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0D06B31F" w:rsidR="00484663" w:rsidRDefault="00227C1F"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6621533A" w:rsidR="00484663" w:rsidRDefault="008D352E"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55127577" w:rsidR="00484663" w:rsidRDefault="00227C1F"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403141D4" w:rsidR="00484663" w:rsidRDefault="00227C1F"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CB73590" w:rsidR="00484663" w:rsidRDefault="00227C1F"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5B8E9D18" w:rsidR="00484663" w:rsidRDefault="00227C1F"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092D7C03"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30FB2DD9"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2F1A9E7F"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2B3F3E9C"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3451C3A9"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3FCBEDD5"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0D6FCA24"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4AA7EAE"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6BCA8424"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533C5C5A"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57344758" w:rsidR="00DA416F" w:rsidRPr="00DD3144" w:rsidRDefault="008D352E"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0BA1F1A9" w:rsidR="00DA416F" w:rsidRPr="00DD3144" w:rsidRDefault="008D352E"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EF9B9B6" w:rsidR="00DA416F" w:rsidRPr="00DD3144" w:rsidRDefault="008D352E"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D5639C2" w:rsidR="00DA416F" w:rsidRPr="00DD3144" w:rsidRDefault="008D352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FF29BA0" w:rsidR="00DA416F" w:rsidRPr="00DD3144" w:rsidRDefault="008D352E"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948FBED" w:rsidR="00DA416F" w:rsidRPr="00DD3144" w:rsidRDefault="008D352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FF592C8" w:rsidR="00DA416F" w:rsidRPr="00DD3144" w:rsidRDefault="008D352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B0CDAC5" w:rsidR="00DA416F" w:rsidRPr="00DD3144" w:rsidRDefault="008D352E"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3731A8C9" w:rsidR="00DA416F" w:rsidRPr="00DD3144" w:rsidRDefault="008D352E"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724EC2F" w:rsidR="00DA416F" w:rsidRPr="00DD3144" w:rsidRDefault="008D352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C1FC3EB" w:rsidR="00DA416F" w:rsidRPr="00DD3144" w:rsidRDefault="00227C1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2E856D4A" w:rsidR="00DA416F" w:rsidRPr="00DD3144" w:rsidRDefault="008D352E" w:rsidP="00DD3144">
            <w:pPr>
              <w:keepNext/>
              <w:rPr>
                <w:rFonts w:ascii="Calibri" w:hAnsi="Calibri" w:cs="Calibri"/>
              </w:rPr>
            </w:pPr>
            <w:r>
              <w:rPr>
                <w:rFonts w:ascii="Calibri" w:hAnsi="Calibri" w:cs="Calibri"/>
              </w:rPr>
              <w:t>X</w:t>
            </w: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FBE7BC9" w:rsidR="00DA416F" w:rsidRPr="00DD3144" w:rsidRDefault="008D352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DAFCB86" w:rsidR="00DA416F" w:rsidRPr="00DD3144" w:rsidRDefault="00227C1F"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9F6B1AB" w:rsidR="00D4323A" w:rsidRPr="00CF2E7C" w:rsidRDefault="001738E6"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80AEB74" w:rsidR="00D4323A" w:rsidRPr="00CF2E7C" w:rsidRDefault="001738E6"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08C96F0" w:rsidR="00D4323A" w:rsidRPr="00CF2E7C" w:rsidRDefault="00D4323A" w:rsidP="00CF2E7C">
            <w:pPr>
              <w:rPr>
                <w:rFonts w:ascii="Calibri" w:hAnsi="Calibri" w:cs="Calibri"/>
              </w:rPr>
            </w:pPr>
          </w:p>
        </w:tc>
        <w:tc>
          <w:tcPr>
            <w:tcW w:w="1455" w:type="dxa"/>
            <w:gridSpan w:val="2"/>
            <w:vAlign w:val="center"/>
          </w:tcPr>
          <w:p w14:paraId="768ED678" w14:textId="0C8770F9" w:rsidR="00D4323A" w:rsidRPr="00CF2E7C" w:rsidRDefault="001738E6"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5F77E36" w:rsidR="00D4323A" w:rsidRPr="00CF2E7C" w:rsidRDefault="001738E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2B19285" w:rsidR="00D4323A" w:rsidRPr="00CF2E7C" w:rsidRDefault="001738E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14EB4F0" w:rsidR="00D4323A" w:rsidRPr="00CF2E7C" w:rsidRDefault="001738E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3800CA5" w:rsidR="00D4323A" w:rsidRPr="00CF2E7C" w:rsidRDefault="001738E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271C4EC" w:rsidR="00D4323A" w:rsidRPr="00CF2E7C" w:rsidRDefault="001738E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19C674D" w:rsidR="00D4323A" w:rsidRPr="00CF2E7C" w:rsidRDefault="001738E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833DF71" w:rsidR="00D4323A" w:rsidRPr="00CF2E7C" w:rsidRDefault="001738E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90FF685" w:rsidR="00D4323A" w:rsidRPr="00CF2E7C" w:rsidRDefault="001738E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47151E9" w:rsidR="00D4323A" w:rsidRPr="00CF2E7C" w:rsidRDefault="001738E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4D3C24D7" w:rsidR="00D4323A" w:rsidRPr="00CF2E7C" w:rsidRDefault="00D4323A" w:rsidP="00CF2E7C">
            <w:pPr>
              <w:rPr>
                <w:rFonts w:ascii="Calibri" w:hAnsi="Calibri" w:cs="Calibri"/>
              </w:rPr>
            </w:pPr>
          </w:p>
        </w:tc>
        <w:tc>
          <w:tcPr>
            <w:tcW w:w="1455" w:type="dxa"/>
            <w:gridSpan w:val="2"/>
            <w:vAlign w:val="center"/>
          </w:tcPr>
          <w:p w14:paraId="459AF8B6" w14:textId="4305B6A1" w:rsidR="00D4323A" w:rsidRPr="00CF2E7C" w:rsidRDefault="001738E6" w:rsidP="00CF2E7C">
            <w:pPr>
              <w:rPr>
                <w:rFonts w:ascii="Calibri" w:hAnsi="Calibri" w:cs="Calibri"/>
              </w:rPr>
            </w:pPr>
            <w:r>
              <w:rPr>
                <w:rFonts w:ascii="Calibri" w:hAnsi="Calibri" w:cs="Calibri"/>
              </w:rPr>
              <w:t>X</w:t>
            </w:r>
          </w:p>
        </w:tc>
        <w:tc>
          <w:tcPr>
            <w:tcW w:w="1505" w:type="dxa"/>
            <w:vAlign w:val="center"/>
          </w:tcPr>
          <w:p w14:paraId="654433FC" w14:textId="498A7A8F"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522D0F09" w:rsidR="00DD292A" w:rsidRPr="00CF2E7C" w:rsidRDefault="00711D02" w:rsidP="00CF2E7C">
            <w:pPr>
              <w:rPr>
                <w:rFonts w:ascii="Calibri" w:hAnsi="Calibri" w:cs="Calibri"/>
              </w:rPr>
            </w:pPr>
            <w:r w:rsidRPr="00270ACD">
              <w:t>Certain sections of the policy tool refer to “</w:t>
            </w:r>
            <w:r w:rsidRPr="00270ACD">
              <w:rPr>
                <w:i/>
                <w:iCs/>
              </w:rPr>
              <w:t>the voluntary, gradual, and proportional adoption of good practices for the management of risks arising from climate change by credit institutions and development banks</w:t>
            </w:r>
            <w:r w:rsidRPr="00270ACD">
              <w:t>.” Accordingly, development banks are included under the “Other” category</w:t>
            </w:r>
            <w:r>
              <w:rPr>
                <w:lang w:val="es-ES"/>
              </w:rPr>
              <w:t>.</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2DDE41A0" w:rsidR="00DD292A" w:rsidRPr="00CF2E7C" w:rsidRDefault="00DC3E2B"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4288728A" w:rsidR="00DD292A" w:rsidRPr="00CF2E7C" w:rsidRDefault="00DC3E2B"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079EE2B1" w:rsidR="00DD292A" w:rsidRPr="00CF2E7C" w:rsidRDefault="00DC3E2B"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56B4982" w:rsidR="00DD292A" w:rsidRPr="00CF2E7C" w:rsidRDefault="00DC3E2B"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FEFFCAF" w:rsidR="00DD292A" w:rsidRPr="00CF2E7C" w:rsidRDefault="00DC3E2B"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24BD942D" w:rsidR="00DD292A" w:rsidRPr="00CF2E7C" w:rsidRDefault="00DC3E2B"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20132A42" w:rsidR="00DD292A" w:rsidRPr="00CF2E7C" w:rsidRDefault="00DC3E2B" w:rsidP="00CF2E7C">
            <w:pPr>
              <w:rPr>
                <w:rFonts w:ascii="Calibri" w:hAnsi="Calibri" w:cs="Calibri"/>
              </w:rPr>
            </w:pPr>
            <w:r w:rsidRPr="00270ACD">
              <w:t>Certain sections of the policy tool refer to “</w:t>
            </w:r>
            <w:r w:rsidRPr="00270ACD">
              <w:rPr>
                <w:i/>
                <w:iCs/>
              </w:rPr>
              <w:t>the voluntary, gradual, and proportional adoption of good practices for the management of risks arising from climate change by credit institutions and development banks</w:t>
            </w:r>
            <w:r w:rsidRPr="00270ACD">
              <w:t>.” Accordingly, development banks are included under the “Other” category</w:t>
            </w:r>
            <w:r>
              <w:rPr>
                <w:lang w:val="es-ES"/>
              </w:rPr>
              <w:t>.</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2E4DFDFD" w:rsidR="00DD292A" w:rsidRPr="00CF2E7C" w:rsidRDefault="00227C1F"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1DD4FC9" w:rsidR="00DD292A" w:rsidRPr="00CF2E7C" w:rsidRDefault="00227C1F"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5BBF33EE" w:rsidR="00DD292A" w:rsidRPr="00CF2E7C" w:rsidRDefault="00227C1F"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13810EB" w:rsidR="00DD292A" w:rsidRPr="00CF2E7C" w:rsidRDefault="00227C1F"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EEDF0F1" w:rsidR="00DD292A" w:rsidRPr="00CF2E7C" w:rsidRDefault="00227C1F"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lastRenderedPageBreak/>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39414B22" w:rsidR="00DD292A" w:rsidRPr="00CF2E7C" w:rsidRDefault="00227C1F"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18EC1B50" w:rsidR="00DD292A" w:rsidRPr="00CF2E7C" w:rsidRDefault="00227C1F"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34E09C3D" w:rsidR="00DD292A" w:rsidRPr="00CF2E7C" w:rsidRDefault="00227C1F"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7D69146" w:rsidR="00DD292A" w:rsidRPr="00CF2E7C" w:rsidRDefault="00227C1F"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D8FFE59" w:rsidR="00DD292A" w:rsidRPr="00CF2E7C" w:rsidRDefault="00227C1F"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481D86F4" w:rsidR="00DD292A" w:rsidRPr="00CF2E7C" w:rsidRDefault="00227C1F"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2FCF2AC3" w:rsidR="00DD292A" w:rsidRPr="00CF2E7C" w:rsidRDefault="00227C1F"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39A858CD" w:rsidR="00DD292A" w:rsidRPr="00CF2E7C" w:rsidRDefault="00227C1F"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0A6381C6" w:rsidR="00DD292A" w:rsidRPr="00CF2E7C" w:rsidRDefault="00227C1F"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6763F7B" w:rsidR="00DD292A" w:rsidRPr="00CF2E7C" w:rsidRDefault="00227C1F"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216E0E27" w:rsidR="00DD292A" w:rsidRPr="00CF2E7C" w:rsidRDefault="00227C1F"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621B80D" w:rsidR="00DD292A" w:rsidRPr="00CF2E7C" w:rsidRDefault="00227C1F"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269E81F2" w:rsidR="00DD292A" w:rsidRPr="00CF2E7C" w:rsidRDefault="00227C1F"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29EBF5BC" w:rsidR="00DD292A" w:rsidRPr="00CF2E7C" w:rsidRDefault="00227C1F"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5C3EF873" w:rsidR="00DD292A" w:rsidRPr="00CF2E7C" w:rsidRDefault="00227C1F"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6CE34BB" w:rsidR="00DD292A" w:rsidRPr="00CF2E7C" w:rsidRDefault="00227C1F"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5FC9EBC8" w:rsidR="00DD292A" w:rsidRPr="00CF2E7C" w:rsidRDefault="00227C1F"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637CC285" w:rsidR="00DD292A" w:rsidRPr="00CF2E7C" w:rsidRDefault="00227C1F" w:rsidP="00CF2E7C">
            <w:pPr>
              <w:rPr>
                <w:rFonts w:ascii="Calibri" w:hAnsi="Calibri" w:cs="Calibri"/>
              </w:rPr>
            </w:pPr>
            <w:r w:rsidRPr="00227C1F">
              <w:rPr>
                <w:rFonts w:ascii="Calibri" w:hAnsi="Calibri" w:cs="Calibri"/>
              </w:rPr>
              <w:t>All entities headquartered in Colombia or conducting activities within the national territory</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02F737E4" w:rsidR="00DD292A" w:rsidRPr="00227C1F" w:rsidRDefault="00227C1F" w:rsidP="00227C1F">
            <w:pPr>
              <w:rPr>
                <w:rFonts w:ascii="Calibri" w:hAnsi="Calibri" w:cs="Calibri"/>
                <w:lang w:val="en-US"/>
              </w:rPr>
            </w:pPr>
            <w:r w:rsidRPr="00227C1F">
              <w:rPr>
                <w:rFonts w:ascii="Calibri" w:hAnsi="Calibri" w:cs="Calibri"/>
                <w:lang w:val="en-US"/>
              </w:rPr>
              <w:t>Financial institutions subject to the inspection and supervision of the SFC</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655BE070" w:rsidR="00DD292A" w:rsidRPr="00CF2E7C" w:rsidRDefault="00DC3E2B"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62BAF5BA" w:rsidR="00DD292A" w:rsidRPr="00CF2E7C" w:rsidRDefault="00DC3E2B" w:rsidP="00CF2E7C">
            <w:pPr>
              <w:rPr>
                <w:rFonts w:ascii="Calibri" w:hAnsi="Calibri" w:cs="Calibri"/>
              </w:rPr>
            </w:pPr>
            <w:r w:rsidRPr="00270ACD">
              <w:t>The principles for climate risk management are of voluntary implementation, as set forth in Section 5: “</w:t>
            </w:r>
            <w:r w:rsidRPr="00270ACD">
              <w:rPr>
                <w:i/>
                <w:iCs/>
              </w:rPr>
              <w:t>the voluntary, gradual, and proportional adoption of good practices for the management of risks arising from climate change by credit institutions and development banks.”</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lastRenderedPageBreak/>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4BAF22D" w:rsidR="00DD3B33" w:rsidRPr="00CF2E7C" w:rsidRDefault="00DC3E2B"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6EF7CC8"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1470656B" w:rsidR="00DD292A" w:rsidRPr="00CF2E7C" w:rsidRDefault="00DC3E2B"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9AAFA6" w14:textId="77777777" w:rsidR="00DC3E2B" w:rsidRPr="00726535" w:rsidRDefault="00DC3E2B" w:rsidP="00DC3E2B">
            <w:pPr>
              <w:spacing w:line="276" w:lineRule="auto"/>
              <w:rPr>
                <w:color w:val="000000" w:themeColor="text1"/>
                <w:lang w:val="en-US"/>
              </w:rPr>
            </w:pPr>
            <w:r w:rsidRPr="00726535">
              <w:rPr>
                <w:color w:val="000000" w:themeColor="text1"/>
                <w:lang w:val="en-US"/>
              </w:rPr>
              <w:t xml:space="preserve">The </w:t>
            </w:r>
            <w:r>
              <w:rPr>
                <w:color w:val="000000" w:themeColor="text1"/>
                <w:lang w:val="en-US"/>
              </w:rPr>
              <w:t>SFC</w:t>
            </w:r>
            <w:r w:rsidRPr="00726535">
              <w:rPr>
                <w:color w:val="000000" w:themeColor="text1"/>
                <w:lang w:val="en-US"/>
              </w:rPr>
              <w:t xml:space="preserve"> has advanced a comprehensive set of initiatives aimed at integrating environmental, social, and governance (ESG) factors—particularly climate-related risks and opportunities—into the Colombian financial system. These efforts include the </w:t>
            </w:r>
            <w:r w:rsidRPr="00726535">
              <w:rPr>
                <w:i/>
                <w:iCs/>
                <w:color w:val="000000" w:themeColor="text1"/>
                <w:lang w:val="en-US"/>
              </w:rPr>
              <w:t>Green Finance and Climate Change Strategy</w:t>
            </w:r>
            <w:r w:rsidRPr="00726535">
              <w:rPr>
                <w:color w:val="000000" w:themeColor="text1"/>
                <w:lang w:val="en-US"/>
              </w:rPr>
              <w:t xml:space="preserve">, the </w:t>
            </w:r>
            <w:r w:rsidRPr="00726535">
              <w:rPr>
                <w:i/>
                <w:iCs/>
                <w:color w:val="000000" w:themeColor="text1"/>
                <w:lang w:val="en-US"/>
              </w:rPr>
              <w:t>Climate Risk and Transition Strategy Dashboard</w:t>
            </w:r>
            <w:r w:rsidRPr="00726535">
              <w:rPr>
                <w:color w:val="000000" w:themeColor="text1"/>
                <w:lang w:val="en-US"/>
              </w:rPr>
              <w:t xml:space="preserve">, and the </w:t>
            </w:r>
            <w:r w:rsidRPr="00726535">
              <w:rPr>
                <w:i/>
                <w:iCs/>
                <w:color w:val="000000" w:themeColor="text1"/>
                <w:lang w:val="en-US"/>
              </w:rPr>
              <w:t>Glossary of Sustainability Terms</w:t>
            </w:r>
            <w:r w:rsidRPr="00726535">
              <w:rPr>
                <w:color w:val="000000" w:themeColor="text1"/>
                <w:lang w:val="en-US"/>
              </w:rPr>
              <w:t xml:space="preserve">. </w:t>
            </w:r>
          </w:p>
          <w:p w14:paraId="496F7156" w14:textId="0D513E03" w:rsidR="00DD292A" w:rsidRPr="00CF2E7C" w:rsidRDefault="00DC3E2B" w:rsidP="00DC3E2B">
            <w:pPr>
              <w:rPr>
                <w:rFonts w:ascii="Calibri" w:hAnsi="Calibri" w:cs="Calibri"/>
              </w:rPr>
            </w:pPr>
            <w:r w:rsidRPr="00726535">
              <w:rPr>
                <w:color w:val="000000" w:themeColor="text1"/>
                <w:lang w:val="en-US"/>
              </w:rPr>
              <w:t xml:space="preserve">Additionally, the SFC has conducted </w:t>
            </w:r>
            <w:r w:rsidRPr="00726535">
              <w:rPr>
                <w:b/>
                <w:bCs/>
                <w:color w:val="000000" w:themeColor="text1"/>
                <w:lang w:val="en-US"/>
              </w:rPr>
              <w:t>biennial surveys on ESG and climate-related risks and opportunities</w:t>
            </w:r>
            <w:r w:rsidRPr="00726535">
              <w:rPr>
                <w:color w:val="000000" w:themeColor="text1"/>
                <w:lang w:val="en-US"/>
              </w:rPr>
              <w:t xml:space="preserve"> (2018, 2020, and 2022), with detailed reports and annexes presenting key findings and data visualizations. Other notable studies include stress-testing frameworks for climate risk, ESG disclosure practices, and the assessment of climate risk impacts on the financial system—developed in coordination with the World Bank. These initiatives reflect the SFC’s ongoing commitment to greening the financial system and enhancing sustainability-related risk management and transparency.</w:t>
            </w:r>
            <w:r>
              <w:rPr>
                <w:color w:val="000000" w:themeColor="text1"/>
                <w:lang w:val="en-US"/>
              </w:rPr>
              <w:t xml:space="preserve"> The information is available at the following </w:t>
            </w:r>
            <w:hyperlink r:id="rId19" w:history="1">
              <w:r w:rsidRPr="00D55590">
                <w:rPr>
                  <w:rStyle w:val="Hyperlink"/>
                  <w:lang w:val="en-US"/>
                </w:rPr>
                <w:t>Web-archived link</w:t>
              </w:r>
            </w:hyperlink>
            <w:r>
              <w:rPr>
                <w:color w:val="000000" w:themeColor="text1"/>
                <w:lang w:val="en-US"/>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6F23E7C"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133A844D"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65403F2"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0284024"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FDAF2EB" w:rsidR="00410853"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7DA5E9D3" w:rsidR="00410853"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6108364A" w:rsidR="00410853"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4E6E755" w:rsidR="00F632FB"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9456B8A" w:rsidR="00F632FB"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73B67CB" w:rsidR="00F632FB"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D09CEB4" w:rsidR="00F632FB"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304DF14" w:rsidR="008C4722"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CEEE399" w:rsidR="008C4722"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39E3C8C" w:rsidR="008C4722"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4885AA24" w:rsidR="008C4722" w:rsidRPr="00CF2E7C" w:rsidRDefault="004476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5C59E6" w14:textId="77777777" w:rsidR="00447650" w:rsidRPr="00447650" w:rsidRDefault="00447650" w:rsidP="00CF2E7C">
            <w:pPr>
              <w:textAlignment w:val="baseline"/>
              <w:rPr>
                <w:rFonts w:ascii="Calibri" w:eastAsia="Times New Roman" w:hAnsi="Calibri" w:cs="Calibri"/>
                <w:kern w:val="0"/>
                <w:lang w:val="en-US" w:eastAsia="en-GB"/>
                <w14:ligatures w14:val="none"/>
              </w:rPr>
            </w:pPr>
            <w:r w:rsidRPr="00447650">
              <w:rPr>
                <w:rFonts w:ascii="Calibri" w:eastAsia="Times New Roman" w:hAnsi="Calibri" w:cs="Calibri"/>
                <w:kern w:val="0"/>
                <w:lang w:val="en-US" w:eastAsia="en-GB"/>
                <w14:ligatures w14:val="none"/>
              </w:rPr>
              <w:t>The policy tool comprehensively addresses the incidence of climate-related financial risks on targeted entities by integrating climate risk factors into existing risk management frameworks, as detailed in Section 5.2 ("</w:t>
            </w:r>
            <w:r w:rsidRPr="00447650">
              <w:rPr>
                <w:rFonts w:ascii="Calibri" w:eastAsia="Times New Roman" w:hAnsi="Calibri" w:cs="Calibri"/>
                <w:i/>
                <w:iCs/>
                <w:kern w:val="0"/>
                <w:lang w:val="en-US" w:eastAsia="en-GB"/>
                <w14:ligatures w14:val="none"/>
              </w:rPr>
              <w:t>Gestión de riesgos</w:t>
            </w:r>
            <w:r w:rsidRPr="00447650">
              <w:rPr>
                <w:rFonts w:ascii="Calibri" w:eastAsia="Times New Roman" w:hAnsi="Calibri" w:cs="Calibri"/>
                <w:kern w:val="0"/>
                <w:lang w:val="en-US" w:eastAsia="en-GB"/>
                <w14:ligatures w14:val="none"/>
              </w:rPr>
              <w:t xml:space="preserve">") and its sub-sections. It requires entities to systematically identify, measure, monitor, mitigate, and report both physical and transition climate risks, recognizing their impact on traditional financial risk categories such as credit, market, liquidity, and operational risks (Section 5.2, points 1-2). </w:t>
            </w:r>
          </w:p>
          <w:p w14:paraId="39FC6AFA" w14:textId="3E97531D" w:rsidR="008C4722" w:rsidRPr="00447650" w:rsidRDefault="00447650" w:rsidP="00CF2E7C">
            <w:pPr>
              <w:textAlignment w:val="baseline"/>
              <w:rPr>
                <w:rFonts w:ascii="Calibri" w:eastAsia="Times New Roman" w:hAnsi="Calibri" w:cs="Calibri"/>
                <w:kern w:val="0"/>
                <w:lang w:val="en-US" w:eastAsia="en-GB"/>
                <w14:ligatures w14:val="none"/>
              </w:rPr>
            </w:pPr>
            <w:r w:rsidRPr="00447650">
              <w:rPr>
                <w:rFonts w:ascii="Calibri" w:eastAsia="Times New Roman" w:hAnsi="Calibri" w:cs="Calibri"/>
                <w:kern w:val="0"/>
                <w:lang w:val="en-US" w:eastAsia="en-GB"/>
                <w14:ligatures w14:val="none"/>
              </w:rPr>
              <w:t>The tool emphasizes the need for entities to incorporate climate risk limits into their risk appetite frameworks and to consider these risks in internal capital and liquidity adequacy assessments (ICAAP and ILAAP) (Section 5.2, points 3-4). Furthermore, it encourages the use of scenario analysis and stress testing (Section 5.3) to evaluate the potential materialization of climate risks over different time horizons, supporting forward-looking risk management. The policy tool also highlights the importance of governance (Section 5.1), ensuring that boards and senior management are equipped to oversee climate risk integration, and mandates regular internal reporting to facilitate informed decision-making (Section 5.2.4). This holistic approach ensures that climate-related financial risks are embedded in the entity’s strategic, operational, and risk management processes.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5E015B8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7520DCB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8BFA1A3" w:rsidR="008C4722" w:rsidRPr="00CF2E7C" w:rsidRDefault="007C2E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651EE0D1" w:rsidR="008C4722" w:rsidRPr="007C2EDC" w:rsidRDefault="008C4722" w:rsidP="007C2ED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17C4C4B5" w:rsidR="007B7DEE" w:rsidRPr="00CF2E7C" w:rsidRDefault="007C2E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258D24" w14:textId="1DFF01E6" w:rsidR="007C2EDC" w:rsidRPr="007C2EDC" w:rsidRDefault="007C2EDC" w:rsidP="007C2EDC">
            <w:pPr>
              <w:textAlignment w:val="baseline"/>
              <w:rPr>
                <w:lang w:val="en-US"/>
              </w:rPr>
            </w:pPr>
            <w:r w:rsidRPr="002D3FB4">
              <w:rPr>
                <w:rFonts w:ascii="Calibri" w:hAnsi="Calibri" w:cs="Calibri"/>
              </w:rPr>
              <w:t xml:space="preserve">Colombian Green Taxonomy </w:t>
            </w:r>
            <w:r>
              <w:rPr>
                <w:rFonts w:ascii="Calibri" w:hAnsi="Calibri" w:cs="Calibri"/>
              </w:rPr>
              <w:t>(</w:t>
            </w:r>
            <w:r>
              <w:rPr>
                <w:lang w:val="en-US"/>
              </w:rPr>
              <w:t xml:space="preserve">available at the following </w:t>
            </w:r>
            <w:hyperlink r:id="rId20" w:history="1">
              <w:r w:rsidRPr="00124797">
                <w:rPr>
                  <w:rStyle w:val="Hyperlink"/>
                  <w:lang w:val="en-US"/>
                </w:rPr>
                <w:t>Web-archived link</w:t>
              </w:r>
            </w:hyperlink>
            <w:r>
              <w:rPr>
                <w:lang w:val="en-US"/>
              </w:rPr>
              <w:t>)</w:t>
            </w:r>
          </w:p>
          <w:p w14:paraId="6B2D0F2D" w14:textId="39861021" w:rsidR="007C2EDC" w:rsidRPr="007C2EDC" w:rsidRDefault="007C2EDC" w:rsidP="007C2EDC">
            <w:pPr>
              <w:textAlignment w:val="baseline"/>
              <w:rPr>
                <w:rFonts w:ascii="Calibri" w:eastAsia="Times New Roman" w:hAnsi="Calibri" w:cs="Calibri"/>
                <w:kern w:val="0"/>
                <w:lang w:eastAsia="en-GB"/>
                <w14:ligatures w14:val="none"/>
              </w:rPr>
            </w:pPr>
            <w:r w:rsidRPr="007C2EDC">
              <w:rPr>
                <w:rFonts w:ascii="Calibri" w:eastAsia="Times New Roman" w:hAnsi="Calibri" w:cs="Calibri"/>
                <w:kern w:val="0"/>
                <w:lang w:eastAsia="en-GB"/>
                <w14:ligatures w14:val="none"/>
              </w:rPr>
              <w:t>The policy tool explicitly references the use of taxonomies to classify assets, activities, or investments according to their contribution to environmental and/or social objectives, including climate-related goals. It defines "taxonom</w:t>
            </w:r>
            <w:r>
              <w:rPr>
                <w:rFonts w:ascii="Calibri" w:eastAsia="Times New Roman" w:hAnsi="Calibri" w:cs="Calibri"/>
                <w:kern w:val="0"/>
                <w:lang w:eastAsia="en-GB"/>
                <w14:ligatures w14:val="none"/>
              </w:rPr>
              <w:t>y</w:t>
            </w:r>
            <w:r w:rsidRPr="007C2EDC">
              <w:rPr>
                <w:rFonts w:ascii="Calibri" w:eastAsia="Times New Roman" w:hAnsi="Calibri" w:cs="Calibri"/>
                <w:kern w:val="0"/>
                <w:lang w:eastAsia="en-GB"/>
                <w14:ligatures w14:val="none"/>
              </w:rPr>
              <w:t>" as systems of classification or sets of criteria to identify and evaluate whether an asset, economic activity, project, or investment contributes to prioritized environmental and/or social objectives, and to what extent. The document highlights the importance of such taxonomies in supporting market participants to assess or categorize their activities, assets, or investments according to their contribution to sustainability objectives and to mitigate the risk of "greenwashing."</w:t>
            </w:r>
          </w:p>
          <w:p w14:paraId="42397B76" w14:textId="3AAC2E7B" w:rsidR="007B7DEE" w:rsidRPr="00CF2E7C" w:rsidRDefault="007C2EDC" w:rsidP="007C2EDC">
            <w:pPr>
              <w:textAlignment w:val="baseline"/>
              <w:rPr>
                <w:rFonts w:ascii="Calibri" w:eastAsia="Times New Roman" w:hAnsi="Calibri" w:cs="Calibri"/>
                <w:kern w:val="0"/>
                <w:lang w:eastAsia="en-GB"/>
                <w14:ligatures w14:val="none"/>
              </w:rPr>
            </w:pPr>
            <w:r w:rsidRPr="007C2EDC">
              <w:rPr>
                <w:rFonts w:ascii="Calibri" w:eastAsia="Times New Roman" w:hAnsi="Calibri" w:cs="Calibri"/>
                <w:kern w:val="0"/>
                <w:lang w:eastAsia="en-GB"/>
                <w14:ligatures w14:val="none"/>
              </w:rPr>
              <w:t>Furthermore, in the section on disclosure (5.4), the policy tool states that if a financial institution uses a classification system or taxonomy in defining eligible activities and assets in its portfolio, investments, or projects, it may use the "Taxonomía Verde de Colombia." This demonstrates that the policy tool does use green, sustainable, or transition taxonomies to classify funds or assets directed towards environment-friendly or low-carbon activities and high-carbon or carbon-intensive activities</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999D894" w:rsidR="00ED7E12" w:rsidRPr="00CF2E7C" w:rsidRDefault="007C2E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4E169509" w:rsidR="00ED7E12" w:rsidRPr="00CF2E7C" w:rsidRDefault="007C2E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36049FE" w:rsidR="00ED7E12" w:rsidRPr="00CF2E7C" w:rsidRDefault="007C2E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EFE3D9" w14:textId="77777777" w:rsidR="00551B62" w:rsidRDefault="00551B62" w:rsidP="00CF2E7C">
            <w:pPr>
              <w:textAlignment w:val="baseline"/>
              <w:rPr>
                <w:rFonts w:ascii="Calibri" w:eastAsia="Times New Roman" w:hAnsi="Calibri" w:cs="Calibri"/>
                <w:kern w:val="0"/>
                <w:lang w:eastAsia="en-GB"/>
                <w14:ligatures w14:val="none"/>
              </w:rPr>
            </w:pPr>
            <w:r w:rsidRPr="00551B62">
              <w:rPr>
                <w:rFonts w:ascii="Calibri" w:eastAsia="Times New Roman" w:hAnsi="Calibri" w:cs="Calibri"/>
                <w:kern w:val="0"/>
                <w:lang w:eastAsia="en-GB"/>
                <w14:ligatures w14:val="none"/>
              </w:rPr>
              <w:t xml:space="preserve">The policy tool monitors and verifies compliance with obligations imposed on regulated entities through a combination of self-reporting, third-party verification, and regulatory oversight, as detailed in section 5.4 "Revelación de Información" (Disclosure of Information) and related governance and risk management sections. Regulated entities are required to annually disclose climate-related information, including the procedures for identifying material climate information and the material issues identified, in line with TCFD recommendations and Circular Externa 031 de 2021 (section 5.4, point 1.1). This constitutes self-reporting. </w:t>
            </w:r>
          </w:p>
          <w:p w14:paraId="42FF8A1B" w14:textId="1B9CC4ED" w:rsidR="00ED7E12" w:rsidRPr="00CF2E7C" w:rsidRDefault="00551B62" w:rsidP="00CF2E7C">
            <w:pPr>
              <w:textAlignment w:val="baseline"/>
              <w:rPr>
                <w:rFonts w:ascii="Calibri" w:eastAsia="Times New Roman" w:hAnsi="Calibri" w:cs="Calibri"/>
                <w:kern w:val="0"/>
                <w:lang w:eastAsia="en-GB"/>
                <w14:ligatures w14:val="none"/>
              </w:rPr>
            </w:pPr>
            <w:r w:rsidRPr="00551B62">
              <w:rPr>
                <w:rFonts w:ascii="Calibri" w:eastAsia="Times New Roman" w:hAnsi="Calibri" w:cs="Calibri"/>
                <w:kern w:val="0"/>
                <w:lang w:eastAsia="en-GB"/>
                <w14:ligatures w14:val="none"/>
              </w:rPr>
              <w:t xml:space="preserve">Additionally, the disclosed information must be reviewed by an independent third party, such as an external auditor, who must be identified along with their qualifications (section 5.4, point 3). Furthermore, the </w:t>
            </w:r>
            <w:r>
              <w:rPr>
                <w:rFonts w:ascii="Calibri" w:eastAsia="Times New Roman" w:hAnsi="Calibri" w:cs="Calibri"/>
                <w:kern w:val="0"/>
                <w:lang w:eastAsia="en-GB"/>
                <w14:ligatures w14:val="none"/>
              </w:rPr>
              <w:t>SFC</w:t>
            </w:r>
            <w:r w:rsidRPr="00551B62">
              <w:rPr>
                <w:rFonts w:ascii="Calibri" w:eastAsia="Times New Roman" w:hAnsi="Calibri" w:cs="Calibri"/>
                <w:kern w:val="0"/>
                <w:lang w:eastAsia="en-GB"/>
                <w14:ligatures w14:val="none"/>
              </w:rPr>
              <w:t xml:space="preserve"> exercises ongoing regulatory oversight, using these principles in its supervisory dialogue and monitoring the progressive integration of climate risk management into entities’ risk systems (section 4 "Objetivo, aplicación y alcance" and section 5 "Principios para la administración de los riesgos financieros climáticos"). These mechanisms collectively ensure that compliance is both internally managed and externally verified, with active supervisory engagement.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A8EB8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504471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0E1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4FBCA5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0E1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6CCDA1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0E1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27BD87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0E1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2D0920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0E1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524009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0E1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53318E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27C1F">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7651DD2" w:rsidR="00C82860" w:rsidRPr="00CF2E7C" w:rsidRDefault="00CD12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AD05861" w14:textId="77777777" w:rsidR="00CD1250" w:rsidRDefault="00CD1250" w:rsidP="00CF2E7C">
            <w:pPr>
              <w:textAlignment w:val="baseline"/>
              <w:rPr>
                <w:rFonts w:ascii="Calibri" w:eastAsia="Times New Roman" w:hAnsi="Calibri" w:cs="Calibri"/>
                <w:kern w:val="0"/>
                <w:lang w:eastAsia="en-GB"/>
                <w14:ligatures w14:val="none"/>
              </w:rPr>
            </w:pPr>
            <w:r w:rsidRPr="00CD1250">
              <w:rPr>
                <w:rFonts w:ascii="Calibri" w:eastAsia="Times New Roman" w:hAnsi="Calibri" w:cs="Calibri"/>
                <w:kern w:val="0"/>
                <w:lang w:eastAsia="en-GB"/>
                <w14:ligatures w14:val="none"/>
              </w:rPr>
              <w:t>The rules on disclosure of climate-related risk management and governance practices are outlined in section 5.4</w:t>
            </w:r>
            <w:r>
              <w:rPr>
                <w:rFonts w:ascii="Calibri" w:eastAsia="Times New Roman" w:hAnsi="Calibri" w:cs="Calibri"/>
                <w:kern w:val="0"/>
                <w:lang w:eastAsia="en-GB"/>
                <w14:ligatures w14:val="none"/>
              </w:rPr>
              <w:t xml:space="preserve">. </w:t>
            </w:r>
            <w:r w:rsidRPr="00CD1250">
              <w:rPr>
                <w:rFonts w:ascii="Calibri" w:eastAsia="Times New Roman" w:hAnsi="Calibri" w:cs="Calibri"/>
                <w:kern w:val="0"/>
                <w:lang w:eastAsia="en-GB"/>
                <w14:ligatures w14:val="none"/>
              </w:rPr>
              <w:t>According to these rules, all entities, regardless of their size or thresholds, are required to annually disclose information on their climate-related risk management and governance practices. This includes a description of the procedures implemented to identify material climate information, the material climate issues identified, and information aligned with the recommendations of the Task Force on Climate-related Financial Disclosures (</w:t>
            </w:r>
            <w:r>
              <w:rPr>
                <w:rFonts w:ascii="Calibri" w:eastAsia="Times New Roman" w:hAnsi="Calibri" w:cs="Calibri"/>
                <w:kern w:val="0"/>
                <w:lang w:eastAsia="en-GB"/>
                <w14:ligatures w14:val="none"/>
              </w:rPr>
              <w:t>“</w:t>
            </w:r>
            <w:r w:rsidRPr="00CD1250">
              <w:rPr>
                <w:rFonts w:ascii="Calibri" w:eastAsia="Times New Roman" w:hAnsi="Calibri" w:cs="Calibri"/>
                <w:kern w:val="0"/>
                <w:u w:val="single"/>
                <w:lang w:eastAsia="en-GB"/>
                <w14:ligatures w14:val="none"/>
              </w:rPr>
              <w:t>TCFD</w:t>
            </w:r>
            <w:r>
              <w:rPr>
                <w:rFonts w:ascii="Calibri" w:eastAsia="Times New Roman" w:hAnsi="Calibri" w:cs="Calibri"/>
                <w:kern w:val="0"/>
                <w:lang w:eastAsia="en-GB"/>
                <w14:ligatures w14:val="none"/>
              </w:rPr>
              <w:t>”</w:t>
            </w:r>
            <w:r w:rsidRPr="00CD1250">
              <w:rPr>
                <w:rFonts w:ascii="Calibri" w:eastAsia="Times New Roman" w:hAnsi="Calibri" w:cs="Calibri"/>
                <w:kern w:val="0"/>
                <w:lang w:eastAsia="en-GB"/>
                <w14:ligatures w14:val="none"/>
              </w:rPr>
              <w:t xml:space="preserve">). </w:t>
            </w:r>
          </w:p>
          <w:p w14:paraId="4DEB14D8" w14:textId="477B9357" w:rsidR="00C82860" w:rsidRPr="00CF2E7C" w:rsidRDefault="00CD1250" w:rsidP="00CF2E7C">
            <w:pPr>
              <w:textAlignment w:val="baseline"/>
              <w:rPr>
                <w:rFonts w:ascii="Calibri" w:eastAsia="Times New Roman" w:hAnsi="Calibri" w:cs="Calibri"/>
                <w:kern w:val="0"/>
                <w:lang w:eastAsia="en-GB"/>
                <w14:ligatures w14:val="none"/>
              </w:rPr>
            </w:pPr>
            <w:r w:rsidRPr="00CD1250">
              <w:rPr>
                <w:rFonts w:ascii="Calibri" w:eastAsia="Times New Roman" w:hAnsi="Calibri" w:cs="Calibri"/>
                <w:kern w:val="0"/>
                <w:lang w:eastAsia="en-GB"/>
                <w14:ligatures w14:val="none"/>
              </w:rPr>
              <w:t xml:space="preserve">Additionally, entities that have products with a denomination related to climate issues or use climate issues in the marketing of their products must provide further explanations on how their strategies contribute to climate adaptation or mitigation and whether they use a </w:t>
            </w:r>
            <w:r w:rsidRPr="00CD1250">
              <w:rPr>
                <w:rFonts w:ascii="Calibri" w:eastAsia="Times New Roman" w:hAnsi="Calibri" w:cs="Calibri"/>
                <w:kern w:val="0"/>
                <w:lang w:eastAsia="en-GB"/>
                <w14:ligatures w14:val="none"/>
              </w:rPr>
              <w:lastRenderedPageBreak/>
              <w:t>classification system or taxonomy, such as the Taxonomía Verde de Colombia, in defining admissible activities and assets (section 5.4, points 1.1, 1.1.3, and 1.2).</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61062BAE" w:rsidR="00C82860" w:rsidRPr="00CF2E7C" w:rsidRDefault="00CD12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2D0F1A72" w:rsidR="00C82860" w:rsidRPr="005E3311" w:rsidRDefault="00CD1250" w:rsidP="00CF2E7C">
            <w:pPr>
              <w:textAlignment w:val="baseline"/>
              <w:rPr>
                <w:rFonts w:ascii="Calibri" w:eastAsia="Times New Roman" w:hAnsi="Calibri" w:cs="Calibri"/>
                <w:kern w:val="0"/>
                <w:lang w:val="en-US" w:eastAsia="en-GB"/>
                <w14:ligatures w14:val="none"/>
              </w:rPr>
            </w:pPr>
            <w:r w:rsidRPr="00CD1250">
              <w:rPr>
                <w:rFonts w:ascii="Calibri" w:eastAsia="Times New Roman" w:hAnsi="Calibri" w:cs="Calibri"/>
                <w:kern w:val="0"/>
                <w:lang w:val="en-US" w:eastAsia="en-GB"/>
                <w14:ligatures w14:val="none"/>
              </w:rPr>
              <w:t>The policy tool</w:t>
            </w:r>
            <w:r>
              <w:rPr>
                <w:rFonts w:ascii="Calibri" w:eastAsia="Times New Roman" w:hAnsi="Calibri" w:cs="Calibri"/>
                <w:kern w:val="0"/>
                <w:lang w:val="en-US" w:eastAsia="en-GB"/>
                <w14:ligatures w14:val="none"/>
              </w:rPr>
              <w:t xml:space="preserve"> </w:t>
            </w:r>
            <w:r w:rsidRPr="00CD1250">
              <w:rPr>
                <w:rFonts w:ascii="Calibri" w:eastAsia="Times New Roman" w:hAnsi="Calibri" w:cs="Calibri"/>
                <w:kern w:val="0"/>
                <w:lang w:val="en-US" w:eastAsia="en-GB"/>
                <w14:ligatures w14:val="none"/>
              </w:rPr>
              <w:t xml:space="preserve">recommends </w:t>
            </w:r>
            <w:r>
              <w:rPr>
                <w:rFonts w:ascii="Calibri" w:eastAsia="Times New Roman" w:hAnsi="Calibri" w:cs="Calibri"/>
                <w:kern w:val="0"/>
                <w:lang w:val="en-US" w:eastAsia="en-GB"/>
                <w14:ligatures w14:val="none"/>
              </w:rPr>
              <w:t>entities to</w:t>
            </w:r>
            <w:r w:rsidRPr="00CD1250">
              <w:rPr>
                <w:rFonts w:ascii="Calibri" w:eastAsia="Times New Roman" w:hAnsi="Calibri" w:cs="Calibri"/>
                <w:kern w:val="0"/>
                <w:lang w:val="en-US" w:eastAsia="en-GB"/>
                <w14:ligatures w14:val="none"/>
              </w:rPr>
              <w:t xml:space="preserve"> integrate climate-risk assessment into their due diligence processes for new clients and transactions. The </w:t>
            </w:r>
            <w:r>
              <w:rPr>
                <w:rFonts w:ascii="Calibri" w:eastAsia="Times New Roman" w:hAnsi="Calibri" w:cs="Calibri"/>
                <w:kern w:val="0"/>
                <w:lang w:val="en-US" w:eastAsia="en-GB"/>
                <w14:ligatures w14:val="none"/>
              </w:rPr>
              <w:t xml:space="preserve">document </w:t>
            </w:r>
            <w:r w:rsidRPr="00CD1250">
              <w:rPr>
                <w:rFonts w:ascii="Calibri" w:eastAsia="Times New Roman" w:hAnsi="Calibri" w:cs="Calibri"/>
                <w:kern w:val="0"/>
                <w:lang w:val="en-US" w:eastAsia="en-GB"/>
                <w14:ligatures w14:val="none"/>
              </w:rPr>
              <w:t>establishes principles and expectations for the identification, measurement, monitoring, and mitigation of climate-related risks, encouraging entities to progressively incorporate climate risk considerations into their risk management frameworks, including client and transaction approval processes. However, these principles are not binding and are to be implemented gradually and proportionally according to each entity’s nature, scale, and complexity (see section 5, especially 5.2 on risk management</w:t>
            </w:r>
            <w:r w:rsidR="005E3311">
              <w:rPr>
                <w:rFonts w:ascii="Calibri" w:eastAsia="Times New Roman" w:hAnsi="Calibri" w:cs="Calibri"/>
                <w:kern w:val="0"/>
                <w:lang w:val="en-US" w:eastAsia="en-GB"/>
                <w14:ligatures w14:val="none"/>
              </w:rPr>
              <w:t xml:space="preserve">, </w:t>
            </w:r>
            <w:r w:rsidRPr="00CD1250">
              <w:rPr>
                <w:rFonts w:ascii="Calibri" w:eastAsia="Times New Roman" w:hAnsi="Calibri" w:cs="Calibri"/>
                <w:kern w:val="0"/>
                <w:lang w:val="en-US" w:eastAsia="en-GB"/>
                <w14:ligatures w14:val="none"/>
              </w:rPr>
              <w:t xml:space="preserve"> 5.2.1 on identification and measurement</w:t>
            </w:r>
            <w:r w:rsidR="005E3311">
              <w:rPr>
                <w:rFonts w:ascii="Calibri" w:eastAsia="Times New Roman" w:hAnsi="Calibri" w:cs="Calibri"/>
                <w:kern w:val="0"/>
                <w:lang w:val="en-US" w:eastAsia="en-GB"/>
                <w14:ligatures w14:val="none"/>
              </w:rPr>
              <w:t xml:space="preserve"> and 5.2.5</w:t>
            </w:r>
            <w:r w:rsidRPr="00CD1250">
              <w:rPr>
                <w:rFonts w:ascii="Calibri" w:eastAsia="Times New Roman" w:hAnsi="Calibri" w:cs="Calibri"/>
                <w:kern w:val="0"/>
                <w:lang w:val="en-US"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7B526D7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10A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243FA9F5"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10A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3967E98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10A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6277C65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10A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B0DBB2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27C1F">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7FACDF88" w:rsidR="00C82860" w:rsidRPr="005B5BC2" w:rsidRDefault="004C6A23" w:rsidP="00CF2E7C">
            <w:pPr>
              <w:textAlignment w:val="baseline"/>
              <w:rPr>
                <w:rFonts w:ascii="Calibri" w:eastAsia="Times New Roman" w:hAnsi="Calibri" w:cs="Calibri"/>
                <w:kern w:val="0"/>
                <w:lang w:val="en-US" w:eastAsia="en-GB"/>
                <w14:ligatures w14:val="none"/>
              </w:rPr>
            </w:pPr>
            <w:r w:rsidRPr="004C6A23">
              <w:rPr>
                <w:rFonts w:ascii="Calibri" w:eastAsia="Times New Roman" w:hAnsi="Calibri" w:cs="Calibri"/>
                <w:kern w:val="0"/>
                <w:lang w:val="en-US" w:eastAsia="en-GB"/>
                <w14:ligatures w14:val="none"/>
              </w:rPr>
              <w:t>The policy tool, as outlined in section 5.2.2 "Monitoreo" recommends that financial institutions develop and use metrics or indicators to monitor their exposure to sectors, industries, and geographies with higher climate physical and transition risks. These metrics should be differentiated according to the type of risk (physical or transition) and tailored to the institution’s business model and risk appetite. Examples of recommended metrics include greenhouse gas emissions (scopes 1, 2, and 3), the proportion of assets aligned with a green taxonomy (such as Colombia’s Green Taxonomy), and the weighted average carbon intensity (WACI). When sufficient data is not available, the use of proxies and reasonable assumptions is suggested. The document emphasizes that these metrics are intended to support decision-making and risk management, and their calibration and regular updating are encouraged to ensure alignment with the institution’s risk appetite and strategic objectives (see section 5.2.2, paragraphs 1–4).</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2BC428CF" w:rsidR="00655FF7" w:rsidRPr="00CF2E7C" w:rsidRDefault="00D565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AD88842" w:rsidR="003032A9" w:rsidRPr="00CF2E7C" w:rsidRDefault="00D565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4220806E" w:rsidR="009818E7" w:rsidRPr="00CF2E7C" w:rsidRDefault="00D565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D565E4">
              <w:rPr>
                <w:rFonts w:ascii="Calibri" w:eastAsia="Times New Roman" w:hAnsi="Calibri" w:cs="Calibri"/>
                <w:kern w:val="0"/>
                <w:lang w:eastAsia="en-GB"/>
                <w14:ligatures w14:val="none"/>
              </w:rPr>
              <w:t>here is no specific threshold established for conducting scenario analysis or climate stress-testing exercises above which entities are required to perform these exercises.</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6BDF8137" w:rsidR="003D5104" w:rsidRPr="00CF2E7C" w:rsidRDefault="00D565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786D0AC5" w:rsidR="003D5104" w:rsidRPr="00CF2E7C" w:rsidRDefault="00D565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0A432812" w:rsidR="003D5104" w:rsidRPr="00CF2E7C" w:rsidRDefault="00D565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659C366E"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E9AA463" w:rsidR="00BE1F9E" w:rsidRPr="00CF2E7C" w:rsidRDefault="005320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5320F0">
              <w:rPr>
                <w:rFonts w:ascii="Calibri" w:eastAsia="Times New Roman" w:hAnsi="Calibri" w:cs="Calibri"/>
                <w:kern w:val="0"/>
                <w:lang w:eastAsia="en-GB"/>
                <w14:ligatures w14:val="none"/>
              </w:rPr>
              <w:t>he policy tool does not mandate a single basis for scenario selection but provides a menu of options: entities may select scenarios internally based on risk, use standardised scenarios recommended by the regulator or relevant authorities, and/or adopt internationally recognised scenarios. The approach is intended to be proportional, relevant, and tailored to each entity’s context, as described in Section 5.3 and the related implementation guidance.</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7583263A" w:rsidR="00DC31BF" w:rsidRPr="00CF2E7C" w:rsidRDefault="006605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F51F515" w:rsidR="0098226E" w:rsidRPr="00CF2E7C" w:rsidRDefault="006605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672C0AC" w:rsidR="00F10A6E" w:rsidRPr="00CF2E7C" w:rsidRDefault="006605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21AFB52E" w:rsidR="00F26296" w:rsidRPr="00CF2E7C" w:rsidRDefault="006605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6CC676C8" w:rsidR="00F26296" w:rsidRPr="00CF2E7C" w:rsidRDefault="006605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1B357869" w:rsidR="00F26296" w:rsidRPr="00CF2E7C" w:rsidRDefault="00BB3CA5" w:rsidP="00BB3CA5">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BB3CA5">
              <w:rPr>
                <w:rFonts w:ascii="Calibri" w:eastAsia="Times New Roman" w:hAnsi="Calibri" w:cs="Calibri"/>
                <w:kern w:val="0"/>
                <w:lang w:eastAsia="en-GB"/>
                <w14:ligatures w14:val="none"/>
              </w:rPr>
              <w:t>he results of stress-testing and scenario analysis exercises are used in several critical ways within financial institutions. As outlined in Section 5.3 "Análisis de escenarios y pruebas de estrés," these exercises are not only forward-looking tools for identifying and quantifying potential climate-related financial risks, but their outcomes directly inform the institution’s risk identification processes, business strategy, and the assessment of the resilience and vulnerabilities of their business models under different climate scenarios (p. 38-39). Furthermore, Section 5.2 "Gestión de riesgos" specifies that the results should be integrated into the institution’s internal capital and liquidity adequacy assessments (ICAAP and ILAAP), evaluating whether plausible scenarios could impact capital planning or liquidity positions (p. 32). The findings are also reported to senior management and the board to support decision-making consistent with the institution’s risk appetite and risk management approach (Section 5.2.4, p. 37). Thus, these exercises have direct implications for governance, risk management frameworks, and capital and liquidity planning, rather than serving solely as data-gathering tools.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49B5F0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3CA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0798CB2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3CA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498DA3D3" w:rsidR="00F26296" w:rsidRPr="00CF2E7C" w:rsidRDefault="00057C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37E0E229" w:rsidR="00F26296" w:rsidRPr="00CF2E7C" w:rsidRDefault="00057CC3" w:rsidP="00CF2E7C">
            <w:pPr>
              <w:textAlignment w:val="baseline"/>
              <w:rPr>
                <w:rFonts w:ascii="Calibri" w:eastAsia="Times New Roman" w:hAnsi="Calibri" w:cs="Calibri"/>
                <w:kern w:val="0"/>
                <w:lang w:eastAsia="en-GB"/>
                <w14:ligatures w14:val="none"/>
              </w:rPr>
            </w:pPr>
            <w:r w:rsidRPr="00057CC3">
              <w:rPr>
                <w:rFonts w:ascii="Calibri" w:eastAsia="Times New Roman" w:hAnsi="Calibri" w:cs="Calibri"/>
                <w:kern w:val="0"/>
                <w:lang w:eastAsia="en-GB"/>
                <w14:ligatures w14:val="none"/>
              </w:rPr>
              <w:t>The policy tool, as outlined in Section 5.2 recommends that credit institutions begin to consider climate-related risks in their Internal Capital Adequacy Assessment Process (ICAAP) and Internal Liquidity Adequacy Assessment Process (ILAAP). The guide states that institutions should evaluate, using plausible scenarios, whether climate risks could materialize within their capital planning horizon or cause negative impacts on capital or liquidity positions. However, this is framed as a recommendation and part of a progressive, non-binding approach, rather than a strict requirement</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DBF46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72A62">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C3AFEC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72A62">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0E4C4A4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72A62">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7413B63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9A3DFE5" w:rsidR="00B114FD" w:rsidRPr="00CF2E7C" w:rsidRDefault="005A7F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74F13533" w:rsidR="00B114FD" w:rsidRPr="00CF2E7C" w:rsidRDefault="005A7F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1F44F25" w:rsidR="00702413" w:rsidRPr="009C4D10" w:rsidRDefault="005A7F0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C13AB32" w:rsidR="00702413" w:rsidRPr="00112FBD" w:rsidRDefault="00112FBD" w:rsidP="00CF2E7C">
            <w:pPr>
              <w:textAlignment w:val="baseline"/>
              <w:rPr>
                <w:rFonts w:eastAsia="Times New Roman" w:cstheme="minorHAnsi"/>
                <w:kern w:val="0"/>
                <w:lang w:val="en-US" w:eastAsia="en-GB"/>
                <w14:ligatures w14:val="none"/>
              </w:rPr>
            </w:pPr>
            <w:r w:rsidRPr="00112FBD">
              <w:rPr>
                <w:rFonts w:eastAsia="Times New Roman" w:cstheme="minorHAnsi"/>
                <w:kern w:val="0"/>
                <w:lang w:val="en-US" w:eastAsia="en-GB"/>
                <w14:ligatures w14:val="none"/>
              </w:rPr>
              <w:t>The key barriers and challenges in implementing the prudential policy tool for climate-related financial risk management</w:t>
            </w:r>
            <w:r>
              <w:rPr>
                <w:rFonts w:eastAsia="Times New Roman" w:cstheme="minorHAnsi"/>
                <w:kern w:val="0"/>
                <w:lang w:val="en-US" w:eastAsia="en-GB"/>
                <w14:ligatures w14:val="none"/>
              </w:rPr>
              <w:t xml:space="preserve"> </w:t>
            </w:r>
            <w:r w:rsidRPr="00112FBD">
              <w:rPr>
                <w:rFonts w:eastAsia="Times New Roman" w:cstheme="minorHAnsi"/>
                <w:kern w:val="0"/>
                <w:lang w:val="en-US" w:eastAsia="en-GB"/>
                <w14:ligatures w14:val="none"/>
              </w:rPr>
              <w:t>include significant methodological and informational gaps, as well as varying levels of institutional capacity and experience among financial institutions. Section 4 (Objective, Application, and Scope) highlights that the integration of climate risk management principles is expected to be gradual and proportional, recognizing differences in the degree of incorporation of climate risks and the methodological and data challenges faced by entities. Section 5.2 (Risk Management) and Section 5.3 (Scenario Analysis and Stress Testing) further emphasize the evolving nature of climate risk factors, the complexity of identifying, measuring, and monitoring these risks, and the need for improved data quality and availability. The document also notes the lack of standardized methodologies and the necessity for capacity building and technical knowledge development within organizations. These challenges collectively hinder the effective and consistent implementation of prudential tools for climate-related financial risk management across the sector.</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BE0E768" w:rsidR="00FE0EA5" w:rsidRPr="009C4D10" w:rsidRDefault="00FE0EA5" w:rsidP="00CF2E7C">
            <w:pPr>
              <w:rPr>
                <w:rFonts w:cstheme="minorHAnsi"/>
              </w:rPr>
            </w:pPr>
            <w:r w:rsidRPr="009C4D10">
              <w:rPr>
                <w:rFonts w:cstheme="minorHAnsi"/>
                <w:lang w:val="en-SG"/>
              </w:rPr>
              <w:t> </w:t>
            </w:r>
            <w:r w:rsidRPr="009C4D10">
              <w:rPr>
                <w:rFonts w:cstheme="minorHAnsi"/>
              </w:rPr>
              <w:t> </w:t>
            </w:r>
            <w:r w:rsidR="00112FBD">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4E1A3D79" w:rsidR="00FE0EA5" w:rsidRPr="009C4D10" w:rsidRDefault="00FE0EA5" w:rsidP="00CF2E7C">
            <w:pPr>
              <w:rPr>
                <w:rFonts w:cstheme="minorHAnsi"/>
              </w:rPr>
            </w:pPr>
            <w:r w:rsidRPr="009C4D10">
              <w:rPr>
                <w:rFonts w:cstheme="minorHAnsi"/>
                <w:lang w:val="en-SG"/>
              </w:rPr>
              <w:t> </w:t>
            </w:r>
            <w:r w:rsidRPr="009C4D10">
              <w:rPr>
                <w:rFonts w:cstheme="minorHAnsi"/>
              </w:rPr>
              <w:t> </w:t>
            </w:r>
            <w:r w:rsidR="00112FBD">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FB529BD" w:rsidR="00FE0EA5" w:rsidRPr="009C4D10" w:rsidRDefault="00FE0EA5" w:rsidP="00CF2E7C">
            <w:pPr>
              <w:rPr>
                <w:rFonts w:cstheme="minorHAnsi"/>
              </w:rPr>
            </w:pPr>
            <w:r w:rsidRPr="009C4D10">
              <w:rPr>
                <w:rFonts w:cstheme="minorHAnsi"/>
                <w:lang w:val="en-SG"/>
              </w:rPr>
              <w:t> </w:t>
            </w:r>
            <w:r w:rsidRPr="009C4D10">
              <w:rPr>
                <w:rFonts w:cstheme="minorHAnsi"/>
              </w:rPr>
              <w:t> </w:t>
            </w:r>
            <w:r w:rsidR="00112FBD">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59459D5" w:rsidR="00FE0EA5" w:rsidRPr="009C4D10" w:rsidRDefault="00FE0EA5" w:rsidP="00CF2E7C">
            <w:pPr>
              <w:rPr>
                <w:rFonts w:cstheme="minorHAnsi"/>
              </w:rPr>
            </w:pPr>
            <w:r w:rsidRPr="009C4D10">
              <w:rPr>
                <w:rFonts w:cstheme="minorHAnsi"/>
                <w:lang w:val="en-SG"/>
              </w:rPr>
              <w:t> </w:t>
            </w:r>
            <w:r w:rsidRPr="009C4D10">
              <w:rPr>
                <w:rFonts w:cstheme="minorHAnsi"/>
              </w:rPr>
              <w:t> </w:t>
            </w:r>
            <w:r w:rsidR="00112FBD">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40F2F3F" w:rsidR="00FE0EA5" w:rsidRPr="009C4D10" w:rsidRDefault="00FE0EA5" w:rsidP="00CF2E7C">
            <w:pPr>
              <w:rPr>
                <w:rFonts w:cstheme="minorHAnsi"/>
              </w:rPr>
            </w:pPr>
            <w:r w:rsidRPr="009C4D10">
              <w:rPr>
                <w:rFonts w:cstheme="minorHAnsi"/>
                <w:lang w:val="en-SG"/>
              </w:rPr>
              <w:t> </w:t>
            </w:r>
            <w:r w:rsidRPr="009C4D10">
              <w:rPr>
                <w:rFonts w:cstheme="minorHAnsi"/>
              </w:rPr>
              <w:t> </w:t>
            </w:r>
            <w:r w:rsidR="00112FBD">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4700F7" w:rsidR="00FE0EA5" w:rsidRPr="009C4D10" w:rsidRDefault="00FE0EA5" w:rsidP="00CF2E7C">
            <w:pPr>
              <w:rPr>
                <w:rFonts w:cstheme="minorHAnsi"/>
              </w:rPr>
            </w:pPr>
            <w:r w:rsidRPr="009C4D10">
              <w:rPr>
                <w:rFonts w:cstheme="minorHAnsi"/>
              </w:rPr>
              <w:t>  </w:t>
            </w:r>
            <w:r w:rsidR="00112FBD">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3425E5B" w:rsidR="00FE0EA5" w:rsidRPr="009C4D10" w:rsidRDefault="00FE0EA5" w:rsidP="00CF2E7C">
            <w:pPr>
              <w:rPr>
                <w:rFonts w:cstheme="minorHAnsi"/>
              </w:rPr>
            </w:pPr>
            <w:r w:rsidRPr="009C4D10">
              <w:rPr>
                <w:rFonts w:cstheme="minorHAnsi"/>
                <w:lang w:val="en-SG"/>
              </w:rPr>
              <w:t> </w:t>
            </w:r>
            <w:r w:rsidRPr="009C4D10">
              <w:rPr>
                <w:rFonts w:cstheme="minorHAnsi"/>
              </w:rPr>
              <w:t> </w:t>
            </w:r>
            <w:r w:rsidR="007538AD">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E535E0" w14:textId="77777777" w:rsidR="00412076" w:rsidRDefault="00412076" w:rsidP="00874E39">
      <w:r>
        <w:separator/>
      </w:r>
    </w:p>
  </w:endnote>
  <w:endnote w:type="continuationSeparator" w:id="0">
    <w:p w14:paraId="06982F68" w14:textId="77777777" w:rsidR="00412076" w:rsidRDefault="00412076" w:rsidP="00874E39">
      <w:r>
        <w:continuationSeparator/>
      </w:r>
    </w:p>
  </w:endnote>
  <w:endnote w:type="continuationNotice" w:id="1">
    <w:p w14:paraId="40FB7ACB" w14:textId="77777777" w:rsidR="00412076" w:rsidRDefault="004120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240382" w14:textId="77777777" w:rsidR="00412076" w:rsidRDefault="00412076" w:rsidP="00874E39">
      <w:r>
        <w:separator/>
      </w:r>
    </w:p>
  </w:footnote>
  <w:footnote w:type="continuationSeparator" w:id="0">
    <w:p w14:paraId="6C875BB6" w14:textId="77777777" w:rsidR="00412076" w:rsidRDefault="00412076" w:rsidP="00874E39">
      <w:r>
        <w:continuationSeparator/>
      </w:r>
    </w:p>
  </w:footnote>
  <w:footnote w:type="continuationNotice" w:id="1">
    <w:p w14:paraId="7C579F53" w14:textId="77777777" w:rsidR="00412076" w:rsidRDefault="0041207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4FE83327"/>
    <w:multiLevelType w:val="hybridMultilevel"/>
    <w:tmpl w:val="22FA2D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222524762">
    <w:abstractNumId w:val="3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CC3"/>
    <w:rsid w:val="0006062B"/>
    <w:rsid w:val="000607C0"/>
    <w:rsid w:val="000609A8"/>
    <w:rsid w:val="00061CCB"/>
    <w:rsid w:val="00062223"/>
    <w:rsid w:val="00062526"/>
    <w:rsid w:val="00063957"/>
    <w:rsid w:val="00064195"/>
    <w:rsid w:val="00064FDB"/>
    <w:rsid w:val="00065A4A"/>
    <w:rsid w:val="0006692A"/>
    <w:rsid w:val="00067899"/>
    <w:rsid w:val="00067E05"/>
    <w:rsid w:val="00067F13"/>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07E77"/>
    <w:rsid w:val="001126A8"/>
    <w:rsid w:val="00112815"/>
    <w:rsid w:val="00112A2C"/>
    <w:rsid w:val="00112A6B"/>
    <w:rsid w:val="00112FBD"/>
    <w:rsid w:val="00113043"/>
    <w:rsid w:val="0011467E"/>
    <w:rsid w:val="001156F1"/>
    <w:rsid w:val="0011644D"/>
    <w:rsid w:val="00116A94"/>
    <w:rsid w:val="001174BF"/>
    <w:rsid w:val="001206CE"/>
    <w:rsid w:val="001221BA"/>
    <w:rsid w:val="00122504"/>
    <w:rsid w:val="00122733"/>
    <w:rsid w:val="00123F5C"/>
    <w:rsid w:val="00124C48"/>
    <w:rsid w:val="00125F5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8E6"/>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27C1F"/>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0AC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295C"/>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5C1F"/>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387"/>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BA6"/>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268"/>
    <w:rsid w:val="00404453"/>
    <w:rsid w:val="00405D8B"/>
    <w:rsid w:val="00406643"/>
    <w:rsid w:val="00410170"/>
    <w:rsid w:val="00410853"/>
    <w:rsid w:val="00410FCF"/>
    <w:rsid w:val="0041207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C2A"/>
    <w:rsid w:val="00444D51"/>
    <w:rsid w:val="004474C7"/>
    <w:rsid w:val="00447650"/>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7E6"/>
    <w:rsid w:val="004B666D"/>
    <w:rsid w:val="004B739E"/>
    <w:rsid w:val="004B77AB"/>
    <w:rsid w:val="004C006D"/>
    <w:rsid w:val="004C0E1B"/>
    <w:rsid w:val="004C20B7"/>
    <w:rsid w:val="004C3866"/>
    <w:rsid w:val="004C3A52"/>
    <w:rsid w:val="004C6739"/>
    <w:rsid w:val="004C6A23"/>
    <w:rsid w:val="004C70AC"/>
    <w:rsid w:val="004C75F9"/>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0F0"/>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B62"/>
    <w:rsid w:val="0055251F"/>
    <w:rsid w:val="00553BB6"/>
    <w:rsid w:val="00554079"/>
    <w:rsid w:val="00554F39"/>
    <w:rsid w:val="00555138"/>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20B"/>
    <w:rsid w:val="00586A0A"/>
    <w:rsid w:val="005870D5"/>
    <w:rsid w:val="00587FAE"/>
    <w:rsid w:val="005900AD"/>
    <w:rsid w:val="005923CF"/>
    <w:rsid w:val="00592CDE"/>
    <w:rsid w:val="005938A6"/>
    <w:rsid w:val="005946B7"/>
    <w:rsid w:val="00595185"/>
    <w:rsid w:val="005959C7"/>
    <w:rsid w:val="0059609B"/>
    <w:rsid w:val="00596289"/>
    <w:rsid w:val="00596CC5"/>
    <w:rsid w:val="00597370"/>
    <w:rsid w:val="0059772D"/>
    <w:rsid w:val="005A03B5"/>
    <w:rsid w:val="005A2023"/>
    <w:rsid w:val="005A270C"/>
    <w:rsid w:val="005A2821"/>
    <w:rsid w:val="005A2900"/>
    <w:rsid w:val="005A383B"/>
    <w:rsid w:val="005A4E4C"/>
    <w:rsid w:val="005A54A2"/>
    <w:rsid w:val="005A5613"/>
    <w:rsid w:val="005A76C9"/>
    <w:rsid w:val="005A7F03"/>
    <w:rsid w:val="005B355B"/>
    <w:rsid w:val="005B4539"/>
    <w:rsid w:val="005B5BC2"/>
    <w:rsid w:val="005C327C"/>
    <w:rsid w:val="005C4420"/>
    <w:rsid w:val="005C5681"/>
    <w:rsid w:val="005C6A1D"/>
    <w:rsid w:val="005C765C"/>
    <w:rsid w:val="005C7DF6"/>
    <w:rsid w:val="005D02C9"/>
    <w:rsid w:val="005D1FF5"/>
    <w:rsid w:val="005D385A"/>
    <w:rsid w:val="005D55BE"/>
    <w:rsid w:val="005D7CD4"/>
    <w:rsid w:val="005E0296"/>
    <w:rsid w:val="005E264E"/>
    <w:rsid w:val="005E2F27"/>
    <w:rsid w:val="005E3311"/>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245"/>
    <w:rsid w:val="006450DB"/>
    <w:rsid w:val="0064585A"/>
    <w:rsid w:val="00646CCB"/>
    <w:rsid w:val="00647D9B"/>
    <w:rsid w:val="00651BC7"/>
    <w:rsid w:val="00651DBE"/>
    <w:rsid w:val="006529EC"/>
    <w:rsid w:val="00652C0B"/>
    <w:rsid w:val="00653F30"/>
    <w:rsid w:val="00654950"/>
    <w:rsid w:val="00655BD9"/>
    <w:rsid w:val="00655FF7"/>
    <w:rsid w:val="006561EB"/>
    <w:rsid w:val="006562BF"/>
    <w:rsid w:val="00656A7C"/>
    <w:rsid w:val="0066041A"/>
    <w:rsid w:val="00660598"/>
    <w:rsid w:val="006621B6"/>
    <w:rsid w:val="00662657"/>
    <w:rsid w:val="006636CE"/>
    <w:rsid w:val="00663D94"/>
    <w:rsid w:val="00664677"/>
    <w:rsid w:val="0066694A"/>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83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C6C"/>
    <w:rsid w:val="00702413"/>
    <w:rsid w:val="00702929"/>
    <w:rsid w:val="00702E5A"/>
    <w:rsid w:val="00703034"/>
    <w:rsid w:val="007032D7"/>
    <w:rsid w:val="007055F4"/>
    <w:rsid w:val="00705948"/>
    <w:rsid w:val="00705ADE"/>
    <w:rsid w:val="007066F4"/>
    <w:rsid w:val="00707D5E"/>
    <w:rsid w:val="00707F76"/>
    <w:rsid w:val="00711D02"/>
    <w:rsid w:val="00711F61"/>
    <w:rsid w:val="007130D4"/>
    <w:rsid w:val="00714103"/>
    <w:rsid w:val="00714E43"/>
    <w:rsid w:val="00717C33"/>
    <w:rsid w:val="007201B1"/>
    <w:rsid w:val="007245FC"/>
    <w:rsid w:val="007250B7"/>
    <w:rsid w:val="007274CB"/>
    <w:rsid w:val="0072785A"/>
    <w:rsid w:val="00730BE0"/>
    <w:rsid w:val="00730E27"/>
    <w:rsid w:val="007312A3"/>
    <w:rsid w:val="00732D3A"/>
    <w:rsid w:val="007335CD"/>
    <w:rsid w:val="00733903"/>
    <w:rsid w:val="00733D39"/>
    <w:rsid w:val="00735A3B"/>
    <w:rsid w:val="00736F5F"/>
    <w:rsid w:val="00737B83"/>
    <w:rsid w:val="0074022B"/>
    <w:rsid w:val="007404B4"/>
    <w:rsid w:val="00740BD6"/>
    <w:rsid w:val="00740CB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8AD"/>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B01"/>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1F8B"/>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17F"/>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2EDC"/>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A55"/>
    <w:rsid w:val="008A2B9D"/>
    <w:rsid w:val="008A345E"/>
    <w:rsid w:val="008A4685"/>
    <w:rsid w:val="008A50AD"/>
    <w:rsid w:val="008A5D8E"/>
    <w:rsid w:val="008B0F60"/>
    <w:rsid w:val="008B0F8A"/>
    <w:rsid w:val="008B2418"/>
    <w:rsid w:val="008B4536"/>
    <w:rsid w:val="008B4C71"/>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52E"/>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3F3"/>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6C8"/>
    <w:rsid w:val="00AA186B"/>
    <w:rsid w:val="00AA38F6"/>
    <w:rsid w:val="00AA4965"/>
    <w:rsid w:val="00AA6DDB"/>
    <w:rsid w:val="00AB0830"/>
    <w:rsid w:val="00AB2CCC"/>
    <w:rsid w:val="00AB4F2C"/>
    <w:rsid w:val="00AB64F8"/>
    <w:rsid w:val="00AC0F8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628"/>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992"/>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CA5"/>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3C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484"/>
    <w:rsid w:val="00CC450D"/>
    <w:rsid w:val="00CC4FFC"/>
    <w:rsid w:val="00CC5328"/>
    <w:rsid w:val="00CC77F9"/>
    <w:rsid w:val="00CC7CC0"/>
    <w:rsid w:val="00CD0735"/>
    <w:rsid w:val="00CD1250"/>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4F6F"/>
    <w:rsid w:val="00CF5268"/>
    <w:rsid w:val="00CF57A6"/>
    <w:rsid w:val="00CF5976"/>
    <w:rsid w:val="00CF5D92"/>
    <w:rsid w:val="00D004AD"/>
    <w:rsid w:val="00D01B92"/>
    <w:rsid w:val="00D02935"/>
    <w:rsid w:val="00D02C80"/>
    <w:rsid w:val="00D02FA1"/>
    <w:rsid w:val="00D056E9"/>
    <w:rsid w:val="00D07A89"/>
    <w:rsid w:val="00D10A4A"/>
    <w:rsid w:val="00D12870"/>
    <w:rsid w:val="00D1407E"/>
    <w:rsid w:val="00D147C0"/>
    <w:rsid w:val="00D14DD0"/>
    <w:rsid w:val="00D15332"/>
    <w:rsid w:val="00D15379"/>
    <w:rsid w:val="00D15775"/>
    <w:rsid w:val="00D15E8F"/>
    <w:rsid w:val="00D16685"/>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47FFA"/>
    <w:rsid w:val="00D510DA"/>
    <w:rsid w:val="00D53F8D"/>
    <w:rsid w:val="00D547E6"/>
    <w:rsid w:val="00D565E4"/>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E2B"/>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1F4"/>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620"/>
    <w:rsid w:val="00E71E7C"/>
    <w:rsid w:val="00E727D2"/>
    <w:rsid w:val="00E72A6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6D3"/>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DB2"/>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1D02"/>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81690062">
      <w:bodyDiv w:val="1"/>
      <w:marLeft w:val="0"/>
      <w:marRight w:val="0"/>
      <w:marTop w:val="0"/>
      <w:marBottom w:val="0"/>
      <w:divBdr>
        <w:top w:val="none" w:sz="0" w:space="0" w:color="auto"/>
        <w:left w:val="none" w:sz="0" w:space="0" w:color="auto"/>
        <w:bottom w:val="none" w:sz="0" w:space="0" w:color="auto"/>
        <w:right w:val="none" w:sz="0" w:space="0" w:color="auto"/>
      </w:divBdr>
    </w:div>
    <w:div w:id="331446158">
      <w:bodyDiv w:val="1"/>
      <w:marLeft w:val="0"/>
      <w:marRight w:val="0"/>
      <w:marTop w:val="0"/>
      <w:marBottom w:val="0"/>
      <w:divBdr>
        <w:top w:val="none" w:sz="0" w:space="0" w:color="auto"/>
        <w:left w:val="none" w:sz="0" w:space="0" w:color="auto"/>
        <w:bottom w:val="none" w:sz="0" w:space="0" w:color="auto"/>
        <w:right w:val="none" w:sz="0" w:space="0" w:color="auto"/>
      </w:divBdr>
    </w:div>
    <w:div w:id="337539604">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41847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011198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733223">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071317023">
      <w:bodyDiv w:val="1"/>
      <w:marLeft w:val="0"/>
      <w:marRight w:val="0"/>
      <w:marTop w:val="0"/>
      <w:marBottom w:val="0"/>
      <w:divBdr>
        <w:top w:val="none" w:sz="0" w:space="0" w:color="auto"/>
        <w:left w:val="none" w:sz="0" w:space="0" w:color="auto"/>
        <w:bottom w:val="none" w:sz="0" w:space="0" w:color="auto"/>
        <w:right w:val="none" w:sz="0" w:space="0" w:color="auto"/>
      </w:divBdr>
    </w:div>
    <w:div w:id="1085422524">
      <w:bodyDiv w:val="1"/>
      <w:marLeft w:val="0"/>
      <w:marRight w:val="0"/>
      <w:marTop w:val="0"/>
      <w:marBottom w:val="0"/>
      <w:divBdr>
        <w:top w:val="none" w:sz="0" w:space="0" w:color="auto"/>
        <w:left w:val="none" w:sz="0" w:space="0" w:color="auto"/>
        <w:bottom w:val="none" w:sz="0" w:space="0" w:color="auto"/>
        <w:right w:val="none" w:sz="0" w:space="0" w:color="auto"/>
      </w:divBdr>
    </w:div>
    <w:div w:id="1147017587">
      <w:bodyDiv w:val="1"/>
      <w:marLeft w:val="0"/>
      <w:marRight w:val="0"/>
      <w:marTop w:val="0"/>
      <w:marBottom w:val="0"/>
      <w:divBdr>
        <w:top w:val="none" w:sz="0" w:space="0" w:color="auto"/>
        <w:left w:val="none" w:sz="0" w:space="0" w:color="auto"/>
        <w:bottom w:val="none" w:sz="0" w:space="0" w:color="auto"/>
        <w:right w:val="none" w:sz="0" w:space="0" w:color="auto"/>
      </w:divBdr>
    </w:div>
    <w:div w:id="117349081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095843">
      <w:bodyDiv w:val="1"/>
      <w:marLeft w:val="0"/>
      <w:marRight w:val="0"/>
      <w:marTop w:val="0"/>
      <w:marBottom w:val="0"/>
      <w:divBdr>
        <w:top w:val="none" w:sz="0" w:space="0" w:color="auto"/>
        <w:left w:val="none" w:sz="0" w:space="0" w:color="auto"/>
        <w:bottom w:val="none" w:sz="0" w:space="0" w:color="auto"/>
        <w:right w:val="none" w:sz="0" w:space="0" w:color="auto"/>
      </w:divBdr>
    </w:div>
    <w:div w:id="1331785975">
      <w:bodyDiv w:val="1"/>
      <w:marLeft w:val="0"/>
      <w:marRight w:val="0"/>
      <w:marTop w:val="0"/>
      <w:marBottom w:val="0"/>
      <w:divBdr>
        <w:top w:val="none" w:sz="0" w:space="0" w:color="auto"/>
        <w:left w:val="none" w:sz="0" w:space="0" w:color="auto"/>
        <w:bottom w:val="none" w:sz="0" w:space="0" w:color="auto"/>
        <w:right w:val="none" w:sz="0" w:space="0" w:color="auto"/>
      </w:divBdr>
    </w:div>
    <w:div w:id="1490558131">
      <w:bodyDiv w:val="1"/>
      <w:marLeft w:val="0"/>
      <w:marRight w:val="0"/>
      <w:marTop w:val="0"/>
      <w:marBottom w:val="0"/>
      <w:divBdr>
        <w:top w:val="none" w:sz="0" w:space="0" w:color="auto"/>
        <w:left w:val="none" w:sz="0" w:space="0" w:color="auto"/>
        <w:bottom w:val="none" w:sz="0" w:space="0" w:color="auto"/>
        <w:right w:val="none" w:sz="0" w:space="0" w:color="auto"/>
      </w:divBdr>
    </w:div>
    <w:div w:id="159254686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2766840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514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55441/https:/www.superfinanciera.gov.co/loader.php?lServicio=Tools2&amp;lTipo=descargas&amp;lFuncion=descargar&amp;idFile=1067418"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204332/https:/www.superfinanciera.gov.co/loader.php?lServicio=Tools2&amp;lTipo=descargas&amp;lFuncion=descargar&amp;idFile=1059701"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41258/https:/www.taxonomiaverde.gov.co/documents/316219/336660/Taxonom%C3%ADa+Verde+de+Colombia.pdf/f25c7843-9a15-17da-90f9-5d63763b85b6?t=164935272000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08155441/https:/www.superfinanciera.gov.co/loader.php?lServicio=Tools2&amp;lTipo=descargas&amp;lFuncion=descargar&amp;idFile=106741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D7DEC746-16EF-4815-8EDB-E59D232D1EE5}"/>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49</Pages>
  <Words>25572</Words>
  <Characters>140652</Characters>
  <Application>Microsoft Office Word</Application>
  <DocSecurity>0</DocSecurity>
  <Lines>1172</Lines>
  <Paragraphs>331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52</cp:revision>
  <cp:lastPrinted>2025-03-21T00:14:00Z</cp:lastPrinted>
  <dcterms:created xsi:type="dcterms:W3CDTF">2025-06-25T15:15:00Z</dcterms:created>
  <dcterms:modified xsi:type="dcterms:W3CDTF">2025-07-09T23:16:00Z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